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rPr>
          <w:rFonts w:ascii="宋体" w:hAnsi="宋体"/>
          <w:b/>
          <w:sz w:val="36"/>
          <w:szCs w:val="36"/>
        </w:rPr>
      </w:pPr>
    </w:p>
    <w:p w:rsidR="00D110B2" w:rsidRDefault="00D110B2">
      <w:pPr>
        <w:rPr>
          <w:rFonts w:ascii="宋体" w:hAnsi="宋体"/>
          <w:b/>
          <w:sz w:val="36"/>
          <w:szCs w:val="36"/>
        </w:rPr>
      </w:pPr>
    </w:p>
    <w:p w:rsidR="00D110B2" w:rsidRDefault="00D110B2">
      <w:pP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830BE0">
      <w:pPr>
        <w:jc w:val="center"/>
        <w:rPr>
          <w:rFonts w:ascii="宋体" w:hAnsi="宋体"/>
          <w:b/>
          <w:sz w:val="44"/>
          <w:szCs w:val="44"/>
        </w:rPr>
      </w:pPr>
      <w:r>
        <w:rPr>
          <w:rFonts w:ascii="宋体" w:hAnsi="宋体" w:hint="eastAsia"/>
          <w:b/>
          <w:sz w:val="44"/>
          <w:szCs w:val="44"/>
        </w:rPr>
        <w:t>湖南商务职业技术学院</w:t>
      </w:r>
    </w:p>
    <w:p w:rsidR="00D110B2" w:rsidRDefault="00D110B2">
      <w:pPr>
        <w:jc w:val="center"/>
        <w:rPr>
          <w:rFonts w:ascii="宋体" w:hAnsi="宋体"/>
          <w:b/>
          <w:sz w:val="44"/>
          <w:szCs w:val="44"/>
        </w:rPr>
      </w:pPr>
    </w:p>
    <w:p w:rsidR="00D110B2" w:rsidRDefault="00830BE0">
      <w:pPr>
        <w:jc w:val="center"/>
        <w:rPr>
          <w:rFonts w:ascii="宋体" w:hAnsi="宋体"/>
          <w:b/>
          <w:sz w:val="44"/>
          <w:szCs w:val="44"/>
        </w:rPr>
      </w:pPr>
      <w:r>
        <w:rPr>
          <w:rFonts w:ascii="宋体" w:hAnsi="宋体" w:hint="eastAsia"/>
          <w:b/>
          <w:sz w:val="44"/>
          <w:szCs w:val="44"/>
        </w:rPr>
        <w:t>资产管理系统资产管理员操作手册</w:t>
      </w:r>
    </w:p>
    <w:p w:rsidR="00D110B2" w:rsidRDefault="00D110B2">
      <w:pPr>
        <w:jc w:val="center"/>
        <w:rPr>
          <w:rFonts w:ascii="宋体" w:hAnsi="宋体"/>
          <w:b/>
          <w:sz w:val="44"/>
          <w:szCs w:val="44"/>
        </w:rPr>
      </w:pPr>
    </w:p>
    <w:p w:rsidR="00D110B2" w:rsidRDefault="00D110B2">
      <w:pPr>
        <w:jc w:val="center"/>
        <w:rPr>
          <w:rFonts w:ascii="宋体" w:hAnsi="宋体"/>
          <w:b/>
          <w:sz w:val="44"/>
          <w:szCs w:val="44"/>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830BE0">
      <w:pPr>
        <w:spacing w:beforeLines="50" w:before="156" w:afterLines="50" w:after="156"/>
        <w:jc w:val="center"/>
        <w:rPr>
          <w:rFonts w:ascii="宋体" w:hAnsi="宋体"/>
          <w:b/>
          <w:sz w:val="36"/>
          <w:szCs w:val="36"/>
        </w:rPr>
      </w:pPr>
      <w:r>
        <w:rPr>
          <w:rFonts w:ascii="宋体" w:hAnsi="宋体" w:hint="eastAsia"/>
          <w:b/>
          <w:sz w:val="36"/>
          <w:szCs w:val="36"/>
        </w:rPr>
        <w:lastRenderedPageBreak/>
        <w:t>目 录</w:t>
      </w:r>
    </w:p>
    <w:sdt>
      <w:sdtPr>
        <w:rPr>
          <w:rFonts w:ascii="宋体" w:hAnsi="宋体"/>
        </w:rPr>
        <w:id w:val="147456511"/>
        <w15:color w:val="DBDBDB"/>
        <w:docPartObj>
          <w:docPartGallery w:val="Table of Contents"/>
          <w:docPartUnique/>
        </w:docPartObj>
      </w:sdtPr>
      <w:sdtEndPr>
        <w:rPr>
          <w:rFonts w:hint="eastAsia"/>
          <w:szCs w:val="36"/>
        </w:rPr>
      </w:sdtEndPr>
      <w:sdtContent>
        <w:p w:rsidR="00D110B2" w:rsidRDefault="00D110B2">
          <w:pPr>
            <w:jc w:val="center"/>
          </w:pPr>
        </w:p>
        <w:p w:rsidR="00D110B2" w:rsidRDefault="00830BE0">
          <w:pPr>
            <w:pStyle w:val="WPSOffice1"/>
            <w:tabs>
              <w:tab w:val="right" w:leader="dot" w:pos="8306"/>
            </w:tabs>
            <w:spacing w:line="360" w:lineRule="auto"/>
            <w:rPr>
              <w:sz w:val="21"/>
              <w:szCs w:val="21"/>
            </w:rPr>
          </w:pPr>
          <w:r>
            <w:rPr>
              <w:rFonts w:ascii="宋体" w:hAnsi="宋体" w:hint="eastAsia"/>
              <w:b/>
              <w:sz w:val="40"/>
              <w:szCs w:val="40"/>
            </w:rPr>
            <w:fldChar w:fldCharType="begin"/>
          </w:r>
          <w:r>
            <w:rPr>
              <w:rFonts w:ascii="宋体" w:hAnsi="宋体" w:hint="eastAsia"/>
              <w:b/>
              <w:sz w:val="40"/>
              <w:szCs w:val="40"/>
            </w:rPr>
            <w:instrText xml:space="preserve">TOC \o "1-1" \h \u </w:instrText>
          </w:r>
          <w:r>
            <w:rPr>
              <w:rFonts w:ascii="宋体" w:hAnsi="宋体" w:hint="eastAsia"/>
              <w:b/>
              <w:sz w:val="40"/>
              <w:szCs w:val="40"/>
            </w:rPr>
            <w:fldChar w:fldCharType="separate"/>
          </w:r>
          <w:hyperlink w:anchor="_Toc5740" w:history="1">
            <w:r>
              <w:rPr>
                <w:rFonts w:ascii="宋体" w:hAnsi="宋体" w:hint="eastAsia"/>
                <w:sz w:val="21"/>
                <w:szCs w:val="36"/>
              </w:rPr>
              <w:t>一、系统登录</w:t>
            </w:r>
            <w:r>
              <w:rPr>
                <w:sz w:val="21"/>
                <w:szCs w:val="21"/>
              </w:rPr>
              <w:tab/>
            </w:r>
            <w:r>
              <w:rPr>
                <w:sz w:val="21"/>
                <w:szCs w:val="21"/>
              </w:rPr>
              <w:fldChar w:fldCharType="begin"/>
            </w:r>
            <w:r>
              <w:rPr>
                <w:sz w:val="21"/>
                <w:szCs w:val="21"/>
              </w:rPr>
              <w:instrText xml:space="preserve"> PAGEREF _Toc5740 </w:instrText>
            </w:r>
            <w:r>
              <w:rPr>
                <w:sz w:val="21"/>
                <w:szCs w:val="21"/>
              </w:rPr>
              <w:fldChar w:fldCharType="separate"/>
            </w:r>
            <w:r>
              <w:rPr>
                <w:sz w:val="21"/>
                <w:szCs w:val="21"/>
              </w:rPr>
              <w:t>1</w:t>
            </w:r>
            <w:r>
              <w:rPr>
                <w:sz w:val="21"/>
                <w:szCs w:val="21"/>
              </w:rPr>
              <w:fldChar w:fldCharType="end"/>
            </w:r>
          </w:hyperlink>
        </w:p>
        <w:p w:rsidR="00D110B2" w:rsidRDefault="005D1ACB">
          <w:pPr>
            <w:pStyle w:val="WPSOffice1"/>
            <w:tabs>
              <w:tab w:val="right" w:leader="dot" w:pos="8306"/>
            </w:tabs>
            <w:spacing w:line="360" w:lineRule="auto"/>
            <w:rPr>
              <w:sz w:val="21"/>
              <w:szCs w:val="21"/>
            </w:rPr>
          </w:pPr>
          <w:hyperlink w:anchor="_Toc18742" w:history="1">
            <w:r w:rsidR="00830BE0">
              <w:rPr>
                <w:rFonts w:ascii="宋体" w:hAnsi="宋体" w:hint="eastAsia"/>
                <w:sz w:val="21"/>
                <w:szCs w:val="36"/>
              </w:rPr>
              <w:t>二、资产的增加</w:t>
            </w:r>
            <w:r w:rsidR="00830BE0">
              <w:rPr>
                <w:sz w:val="21"/>
                <w:szCs w:val="21"/>
              </w:rPr>
              <w:tab/>
            </w:r>
            <w:r w:rsidR="00830BE0">
              <w:rPr>
                <w:sz w:val="21"/>
                <w:szCs w:val="21"/>
              </w:rPr>
              <w:fldChar w:fldCharType="begin"/>
            </w:r>
            <w:r w:rsidR="00830BE0">
              <w:rPr>
                <w:sz w:val="21"/>
                <w:szCs w:val="21"/>
              </w:rPr>
              <w:instrText xml:space="preserve"> PAGEREF _Toc18742 </w:instrText>
            </w:r>
            <w:r w:rsidR="00830BE0">
              <w:rPr>
                <w:sz w:val="21"/>
                <w:szCs w:val="21"/>
              </w:rPr>
              <w:fldChar w:fldCharType="separate"/>
            </w:r>
            <w:r w:rsidR="00830BE0">
              <w:rPr>
                <w:sz w:val="21"/>
                <w:szCs w:val="21"/>
              </w:rPr>
              <w:t>2</w:t>
            </w:r>
            <w:r w:rsidR="00830BE0">
              <w:rPr>
                <w:sz w:val="21"/>
                <w:szCs w:val="21"/>
              </w:rPr>
              <w:fldChar w:fldCharType="end"/>
            </w:r>
          </w:hyperlink>
        </w:p>
        <w:p w:rsidR="00D110B2" w:rsidRDefault="005D1ACB">
          <w:pPr>
            <w:pStyle w:val="WPSOffice1"/>
            <w:tabs>
              <w:tab w:val="right" w:leader="dot" w:pos="8306"/>
            </w:tabs>
            <w:spacing w:line="360" w:lineRule="auto"/>
            <w:rPr>
              <w:sz w:val="21"/>
              <w:szCs w:val="21"/>
            </w:rPr>
          </w:pPr>
          <w:hyperlink w:anchor="_Toc32198" w:history="1">
            <w:r w:rsidR="00830BE0">
              <w:rPr>
                <w:rFonts w:ascii="宋体" w:hAnsi="宋体" w:hint="eastAsia"/>
                <w:sz w:val="21"/>
                <w:szCs w:val="36"/>
              </w:rPr>
              <w:t>三、资产的变动</w:t>
            </w:r>
            <w:r w:rsidR="00830BE0">
              <w:rPr>
                <w:sz w:val="21"/>
                <w:szCs w:val="21"/>
              </w:rPr>
              <w:tab/>
            </w:r>
            <w:r w:rsidR="00830BE0">
              <w:rPr>
                <w:sz w:val="21"/>
                <w:szCs w:val="21"/>
              </w:rPr>
              <w:fldChar w:fldCharType="begin"/>
            </w:r>
            <w:r w:rsidR="00830BE0">
              <w:rPr>
                <w:sz w:val="21"/>
                <w:szCs w:val="21"/>
              </w:rPr>
              <w:instrText xml:space="preserve"> PAGEREF _Toc32198 </w:instrText>
            </w:r>
            <w:r w:rsidR="00830BE0">
              <w:rPr>
                <w:sz w:val="21"/>
                <w:szCs w:val="21"/>
              </w:rPr>
              <w:fldChar w:fldCharType="separate"/>
            </w:r>
            <w:r w:rsidR="00830BE0">
              <w:rPr>
                <w:sz w:val="21"/>
                <w:szCs w:val="21"/>
              </w:rPr>
              <w:t>4</w:t>
            </w:r>
            <w:r w:rsidR="00830BE0">
              <w:rPr>
                <w:sz w:val="21"/>
                <w:szCs w:val="21"/>
              </w:rPr>
              <w:fldChar w:fldCharType="end"/>
            </w:r>
          </w:hyperlink>
        </w:p>
        <w:p w:rsidR="00D110B2" w:rsidRDefault="005D1ACB">
          <w:pPr>
            <w:pStyle w:val="WPSOffice1"/>
            <w:tabs>
              <w:tab w:val="right" w:leader="dot" w:pos="8306"/>
            </w:tabs>
            <w:spacing w:line="360" w:lineRule="auto"/>
            <w:rPr>
              <w:sz w:val="21"/>
              <w:szCs w:val="21"/>
            </w:rPr>
          </w:pPr>
          <w:hyperlink w:anchor="_Toc9276" w:history="1">
            <w:r w:rsidR="00830BE0">
              <w:rPr>
                <w:rFonts w:ascii="宋体" w:hAnsi="宋体" w:hint="eastAsia"/>
                <w:sz w:val="21"/>
                <w:szCs w:val="36"/>
              </w:rPr>
              <w:t>四、资产的处置</w:t>
            </w:r>
            <w:r w:rsidR="00830BE0">
              <w:rPr>
                <w:sz w:val="21"/>
                <w:szCs w:val="21"/>
              </w:rPr>
              <w:tab/>
            </w:r>
            <w:r w:rsidR="00830BE0">
              <w:rPr>
                <w:sz w:val="21"/>
                <w:szCs w:val="21"/>
              </w:rPr>
              <w:fldChar w:fldCharType="begin"/>
            </w:r>
            <w:r w:rsidR="00830BE0">
              <w:rPr>
                <w:sz w:val="21"/>
                <w:szCs w:val="21"/>
              </w:rPr>
              <w:instrText xml:space="preserve"> PAGEREF _Toc9276 </w:instrText>
            </w:r>
            <w:r w:rsidR="00830BE0">
              <w:rPr>
                <w:sz w:val="21"/>
                <w:szCs w:val="21"/>
              </w:rPr>
              <w:fldChar w:fldCharType="separate"/>
            </w:r>
            <w:r w:rsidR="00830BE0">
              <w:rPr>
                <w:sz w:val="21"/>
                <w:szCs w:val="21"/>
              </w:rPr>
              <w:t>6</w:t>
            </w:r>
            <w:r w:rsidR="00830BE0">
              <w:rPr>
                <w:sz w:val="21"/>
                <w:szCs w:val="21"/>
              </w:rPr>
              <w:fldChar w:fldCharType="end"/>
            </w:r>
          </w:hyperlink>
        </w:p>
        <w:p w:rsidR="00D110B2" w:rsidRDefault="005D1ACB">
          <w:pPr>
            <w:pStyle w:val="WPSOffice1"/>
            <w:tabs>
              <w:tab w:val="right" w:leader="dot" w:pos="8306"/>
            </w:tabs>
            <w:spacing w:line="360" w:lineRule="auto"/>
            <w:rPr>
              <w:sz w:val="21"/>
              <w:szCs w:val="21"/>
            </w:rPr>
          </w:pPr>
          <w:hyperlink w:anchor="_Toc9111" w:history="1">
            <w:r w:rsidR="00830BE0">
              <w:rPr>
                <w:rFonts w:ascii="宋体" w:hAnsi="宋体" w:hint="eastAsia"/>
                <w:sz w:val="21"/>
                <w:szCs w:val="36"/>
              </w:rPr>
              <w:t>五、资产的分类</w:t>
            </w:r>
            <w:r w:rsidR="00830BE0">
              <w:rPr>
                <w:sz w:val="21"/>
                <w:szCs w:val="21"/>
              </w:rPr>
              <w:tab/>
            </w:r>
            <w:r w:rsidR="00830BE0">
              <w:rPr>
                <w:sz w:val="21"/>
                <w:szCs w:val="21"/>
              </w:rPr>
              <w:fldChar w:fldCharType="begin"/>
            </w:r>
            <w:r w:rsidR="00830BE0">
              <w:rPr>
                <w:sz w:val="21"/>
                <w:szCs w:val="21"/>
              </w:rPr>
              <w:instrText xml:space="preserve"> PAGEREF _Toc9111 </w:instrText>
            </w:r>
            <w:r w:rsidR="00830BE0">
              <w:rPr>
                <w:sz w:val="21"/>
                <w:szCs w:val="21"/>
              </w:rPr>
              <w:fldChar w:fldCharType="separate"/>
            </w:r>
            <w:r w:rsidR="00830BE0">
              <w:rPr>
                <w:sz w:val="21"/>
                <w:szCs w:val="21"/>
              </w:rPr>
              <w:t>8</w:t>
            </w:r>
            <w:r w:rsidR="00830BE0">
              <w:rPr>
                <w:sz w:val="21"/>
                <w:szCs w:val="21"/>
              </w:rPr>
              <w:fldChar w:fldCharType="end"/>
            </w:r>
          </w:hyperlink>
        </w:p>
        <w:p w:rsidR="00D110B2" w:rsidRDefault="00830BE0">
          <w:pPr>
            <w:pStyle w:val="WPSOffice1"/>
            <w:tabs>
              <w:tab w:val="right" w:leader="dot" w:pos="8306"/>
            </w:tabs>
            <w:spacing w:line="360" w:lineRule="auto"/>
            <w:rPr>
              <w:rFonts w:ascii="宋体" w:hAnsi="宋体"/>
              <w:sz w:val="21"/>
              <w:szCs w:val="40"/>
            </w:rPr>
          </w:pPr>
          <w:r>
            <w:rPr>
              <w:rFonts w:ascii="宋体" w:hAnsi="宋体" w:hint="eastAsia"/>
              <w:sz w:val="21"/>
              <w:szCs w:val="40"/>
            </w:rPr>
            <w:t>六、</w:t>
          </w:r>
          <w:hyperlink w:anchor="_Toc1365" w:history="1">
            <w:r>
              <w:rPr>
                <w:rFonts w:hint="eastAsia"/>
                <w:sz w:val="21"/>
                <w:szCs w:val="40"/>
              </w:rPr>
              <w:t>国有资产报废技术鉴定表</w:t>
            </w:r>
            <w:r>
              <w:rPr>
                <w:sz w:val="21"/>
                <w:szCs w:val="21"/>
              </w:rPr>
              <w:tab/>
            </w:r>
            <w:r>
              <w:rPr>
                <w:sz w:val="21"/>
                <w:szCs w:val="21"/>
              </w:rPr>
              <w:fldChar w:fldCharType="begin"/>
            </w:r>
            <w:r>
              <w:rPr>
                <w:sz w:val="21"/>
                <w:szCs w:val="21"/>
              </w:rPr>
              <w:instrText xml:space="preserve"> PAGEREF _Toc1365 </w:instrText>
            </w:r>
            <w:r>
              <w:rPr>
                <w:sz w:val="21"/>
                <w:szCs w:val="21"/>
              </w:rPr>
              <w:fldChar w:fldCharType="separate"/>
            </w:r>
            <w:r>
              <w:rPr>
                <w:sz w:val="21"/>
                <w:szCs w:val="21"/>
              </w:rPr>
              <w:t>9</w:t>
            </w:r>
            <w:r>
              <w:rPr>
                <w:sz w:val="21"/>
                <w:szCs w:val="21"/>
              </w:rPr>
              <w:fldChar w:fldCharType="end"/>
            </w:r>
          </w:hyperlink>
        </w:p>
        <w:p w:rsidR="00D110B2" w:rsidRDefault="00830BE0">
          <w:pPr>
            <w:pStyle w:val="WPSOffice1"/>
            <w:tabs>
              <w:tab w:val="right" w:leader="dot" w:pos="8306"/>
            </w:tabs>
            <w:spacing w:line="360" w:lineRule="auto"/>
            <w:rPr>
              <w:sz w:val="21"/>
              <w:szCs w:val="21"/>
            </w:rPr>
          </w:pPr>
          <w:r>
            <w:rPr>
              <w:rFonts w:ascii="宋体" w:hAnsi="宋体" w:hint="eastAsia"/>
              <w:sz w:val="21"/>
              <w:szCs w:val="40"/>
            </w:rPr>
            <w:t>七、湖南省省属高校国有资产处置明细单</w:t>
          </w:r>
          <w:r>
            <w:rPr>
              <w:rFonts w:hint="eastAsia"/>
              <w:sz w:val="21"/>
              <w:szCs w:val="21"/>
            </w:rPr>
            <w:t>....................................................................................10</w:t>
          </w:r>
        </w:p>
        <w:p w:rsidR="00D110B2" w:rsidRDefault="00830BE0">
          <w:pPr>
            <w:spacing w:line="360" w:lineRule="auto"/>
            <w:jc w:val="center"/>
            <w:rPr>
              <w:rFonts w:ascii="宋体" w:hAnsi="宋体"/>
              <w:b/>
              <w:sz w:val="36"/>
              <w:szCs w:val="36"/>
            </w:rPr>
          </w:pPr>
          <w:r>
            <w:rPr>
              <w:rFonts w:ascii="宋体" w:hAnsi="宋体" w:hint="eastAsia"/>
              <w:sz w:val="22"/>
              <w:szCs w:val="40"/>
            </w:rPr>
            <w:fldChar w:fldCharType="end"/>
          </w:r>
        </w:p>
      </w:sdtContent>
    </w:sdt>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jc w:val="center"/>
        <w:rPr>
          <w:rFonts w:ascii="宋体" w:hAnsi="宋体"/>
          <w:b/>
          <w:sz w:val="36"/>
          <w:szCs w:val="36"/>
        </w:rPr>
      </w:pPr>
    </w:p>
    <w:p w:rsidR="00D110B2" w:rsidRDefault="00D110B2">
      <w:pPr>
        <w:rPr>
          <w:rFonts w:ascii="宋体" w:hAnsi="宋体"/>
          <w:b/>
          <w:sz w:val="36"/>
          <w:szCs w:val="36"/>
        </w:rPr>
        <w:sectPr w:rsidR="00D110B2">
          <w:pgSz w:w="11906" w:h="16838"/>
          <w:pgMar w:top="1440" w:right="1800" w:bottom="1440" w:left="1800" w:header="851" w:footer="992" w:gutter="0"/>
          <w:cols w:space="425"/>
          <w:docGrid w:type="lines" w:linePitch="312"/>
        </w:sectPr>
      </w:pPr>
    </w:p>
    <w:p w:rsidR="00D110B2" w:rsidRDefault="00830BE0">
      <w:pPr>
        <w:jc w:val="center"/>
        <w:outlineLvl w:val="0"/>
        <w:rPr>
          <w:rFonts w:ascii="宋体" w:hAnsi="宋体"/>
          <w:b/>
          <w:sz w:val="36"/>
          <w:szCs w:val="36"/>
        </w:rPr>
      </w:pPr>
      <w:bookmarkStart w:id="0" w:name="_Toc26956"/>
      <w:bookmarkStart w:id="1" w:name="_Toc14997"/>
      <w:r>
        <w:rPr>
          <w:rFonts w:ascii="宋体" w:hAnsi="宋体" w:hint="eastAsia"/>
          <w:b/>
          <w:sz w:val="36"/>
          <w:szCs w:val="36"/>
        </w:rPr>
        <w:lastRenderedPageBreak/>
        <w:t>湖南商务职业技术学院</w:t>
      </w:r>
      <w:bookmarkEnd w:id="0"/>
      <w:bookmarkEnd w:id="1"/>
    </w:p>
    <w:p w:rsidR="00D110B2" w:rsidRDefault="00830BE0">
      <w:pPr>
        <w:jc w:val="center"/>
        <w:outlineLvl w:val="0"/>
        <w:rPr>
          <w:rFonts w:ascii="宋体" w:hAnsi="宋体"/>
          <w:b/>
          <w:sz w:val="36"/>
          <w:szCs w:val="36"/>
        </w:rPr>
      </w:pPr>
      <w:bookmarkStart w:id="2" w:name="_Toc13401"/>
      <w:bookmarkStart w:id="3" w:name="_Toc3567"/>
      <w:r>
        <w:rPr>
          <w:rFonts w:ascii="宋体" w:hAnsi="宋体" w:hint="eastAsia"/>
          <w:b/>
          <w:sz w:val="36"/>
          <w:szCs w:val="36"/>
        </w:rPr>
        <w:t>资产管理系统资产管理员操作手册</w:t>
      </w:r>
      <w:bookmarkEnd w:id="2"/>
      <w:bookmarkEnd w:id="3"/>
    </w:p>
    <w:p w:rsidR="00D110B2" w:rsidRDefault="00830BE0">
      <w:pPr>
        <w:jc w:val="center"/>
        <w:outlineLvl w:val="0"/>
        <w:rPr>
          <w:rFonts w:ascii="宋体" w:hAnsi="宋体"/>
          <w:b/>
          <w:sz w:val="32"/>
          <w:szCs w:val="32"/>
        </w:rPr>
      </w:pPr>
      <w:bookmarkStart w:id="4" w:name="_Toc5740"/>
      <w:r>
        <w:rPr>
          <w:rFonts w:ascii="宋体" w:hAnsi="宋体" w:hint="eastAsia"/>
          <w:b/>
          <w:sz w:val="32"/>
          <w:szCs w:val="32"/>
        </w:rPr>
        <w:t>一、系统登录</w:t>
      </w:r>
      <w:bookmarkEnd w:id="4"/>
    </w:p>
    <w:p w:rsidR="00D110B2" w:rsidRDefault="00830BE0">
      <w:pPr>
        <w:rPr>
          <w:rFonts w:ascii="宋体" w:hAnsi="宋体"/>
        </w:rPr>
      </w:pPr>
      <w:r>
        <w:rPr>
          <w:rFonts w:ascii="宋体" w:hAnsi="宋体" w:hint="eastAsia"/>
        </w:rPr>
        <w:t>打开浏览器，输入资产系统的登陆地址http://172.16.0.222/pt/default.aspx，打开系统登陆界面。</w:t>
      </w:r>
    </w:p>
    <w:p w:rsidR="00D110B2" w:rsidRDefault="00830BE0">
      <w:r>
        <w:rPr>
          <w:noProof/>
        </w:rPr>
        <w:drawing>
          <wp:inline distT="0" distB="0" distL="114300" distR="114300">
            <wp:extent cx="5264785" cy="2406650"/>
            <wp:effectExtent l="0" t="0" r="12065"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4785" cy="2406650"/>
                    </a:xfrm>
                    <a:prstGeom prst="rect">
                      <a:avLst/>
                    </a:prstGeom>
                    <a:noFill/>
                    <a:ln>
                      <a:noFill/>
                    </a:ln>
                  </pic:spPr>
                </pic:pic>
              </a:graphicData>
            </a:graphic>
          </wp:inline>
        </w:drawing>
      </w:r>
    </w:p>
    <w:p w:rsidR="00D110B2" w:rsidRDefault="00830BE0">
      <w:r>
        <w:rPr>
          <w:noProof/>
        </w:rPr>
        <w:drawing>
          <wp:inline distT="0" distB="0" distL="114300" distR="114300">
            <wp:extent cx="5263515" cy="1225550"/>
            <wp:effectExtent l="0" t="0" r="1333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63515" cy="1225550"/>
                    </a:xfrm>
                    <a:prstGeom prst="rect">
                      <a:avLst/>
                    </a:prstGeom>
                    <a:noFill/>
                    <a:ln>
                      <a:noFill/>
                    </a:ln>
                  </pic:spPr>
                </pic:pic>
              </a:graphicData>
            </a:graphic>
          </wp:inline>
        </w:drawing>
      </w:r>
    </w:p>
    <w:p w:rsidR="00D110B2" w:rsidRDefault="00D110B2">
      <w:pPr>
        <w:ind w:firstLineChars="200" w:firstLine="420"/>
        <w:rPr>
          <w:rFonts w:ascii="宋体" w:hAnsi="宋体"/>
        </w:rPr>
      </w:pPr>
    </w:p>
    <w:p w:rsidR="00D110B2" w:rsidRDefault="00830BE0">
      <w:pPr>
        <w:rPr>
          <w:rFonts w:ascii="宋体" w:hAnsi="宋体"/>
        </w:rPr>
      </w:pPr>
      <w:r>
        <w:rPr>
          <w:rFonts w:ascii="宋体" w:hAnsi="宋体" w:hint="eastAsia"/>
        </w:rPr>
        <w:t>输入用户名和密码登录，进入系统的首界面，账号为OA工号，初始密码为123456。</w:t>
      </w:r>
    </w:p>
    <w:p w:rsidR="00D110B2" w:rsidRDefault="00830BE0">
      <w:pPr>
        <w:rPr>
          <w:rFonts w:ascii="宋体" w:hAnsi="宋体"/>
        </w:rPr>
      </w:pPr>
      <w:r>
        <w:rPr>
          <w:noProof/>
        </w:rPr>
        <w:drawing>
          <wp:inline distT="0" distB="0" distL="114300" distR="114300">
            <wp:extent cx="5269865" cy="2612390"/>
            <wp:effectExtent l="0" t="0" r="6985"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69865" cy="2612390"/>
                    </a:xfrm>
                    <a:prstGeom prst="rect">
                      <a:avLst/>
                    </a:prstGeom>
                    <a:noFill/>
                    <a:ln>
                      <a:noFill/>
                    </a:ln>
                  </pic:spPr>
                </pic:pic>
              </a:graphicData>
            </a:graphic>
          </wp:inline>
        </w:drawing>
      </w:r>
    </w:p>
    <w:p w:rsidR="00D110B2" w:rsidRDefault="00830BE0">
      <w:pPr>
        <w:numPr>
          <w:ilvl w:val="0"/>
          <w:numId w:val="1"/>
        </w:numPr>
        <w:jc w:val="center"/>
        <w:outlineLvl w:val="0"/>
        <w:rPr>
          <w:rFonts w:ascii="宋体" w:hAnsi="宋体"/>
          <w:b/>
          <w:sz w:val="32"/>
          <w:szCs w:val="32"/>
        </w:rPr>
      </w:pPr>
      <w:bookmarkStart w:id="5" w:name="_Toc18742"/>
      <w:r>
        <w:rPr>
          <w:rFonts w:ascii="宋体" w:hAnsi="宋体" w:hint="eastAsia"/>
          <w:b/>
          <w:sz w:val="32"/>
          <w:szCs w:val="32"/>
        </w:rPr>
        <w:lastRenderedPageBreak/>
        <w:t>资产的增加</w:t>
      </w:r>
      <w:bookmarkEnd w:id="5"/>
    </w:p>
    <w:p w:rsidR="00D110B2" w:rsidRDefault="00830BE0">
      <w:pPr>
        <w:rPr>
          <w:rFonts w:ascii="宋体" w:hAnsi="宋体"/>
        </w:rPr>
      </w:pPr>
      <w:r>
        <w:rPr>
          <w:rFonts w:ascii="宋体" w:hAnsi="宋体" w:hint="eastAsia"/>
        </w:rPr>
        <w:t>操作窗口：资产管理----资产建账----管理员建账</w:t>
      </w:r>
    </w:p>
    <w:p w:rsidR="00D110B2" w:rsidRDefault="00830BE0">
      <w:r>
        <w:rPr>
          <w:noProof/>
        </w:rPr>
        <w:drawing>
          <wp:inline distT="0" distB="0" distL="114300" distR="114300">
            <wp:extent cx="3095625" cy="15525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3095625" cy="155257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确定进入录入界面。</w:t>
      </w:r>
    </w:p>
    <w:p w:rsidR="00D110B2" w:rsidRDefault="00830BE0">
      <w:r>
        <w:rPr>
          <w:noProof/>
        </w:rPr>
        <w:drawing>
          <wp:inline distT="0" distB="0" distL="114300" distR="114300">
            <wp:extent cx="5274310" cy="1893570"/>
            <wp:effectExtent l="0" t="0" r="254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4310" cy="1893570"/>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选中资产录入部门后单击“增加”，进入资产验收单页面录入相关信息。</w:t>
      </w:r>
      <w:r>
        <w:rPr>
          <w:noProof/>
        </w:rPr>
        <w:drawing>
          <wp:inline distT="0" distB="0" distL="114300" distR="114300">
            <wp:extent cx="5264150" cy="1478280"/>
            <wp:effectExtent l="0" t="0" r="1270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4150" cy="1478280"/>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先填写资产名称，再选择分类代码。</w:t>
      </w:r>
      <w:r>
        <w:rPr>
          <w:rFonts w:hint="eastAsia"/>
        </w:rPr>
        <w:t>一般可利用反查结果来选分类代码，如反查结果为空，则在综合分类中逐一选择。</w:t>
      </w:r>
    </w:p>
    <w:p w:rsidR="00D110B2" w:rsidRDefault="00830BE0">
      <w:r>
        <w:rPr>
          <w:noProof/>
        </w:rPr>
        <w:drawing>
          <wp:inline distT="0" distB="0" distL="114300" distR="114300">
            <wp:extent cx="5270500" cy="1829435"/>
            <wp:effectExtent l="0" t="0" r="6350"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270500" cy="182943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选好分类号后，会增加相应类别资产的信息项。根据界面显示填写相应信息项即可。</w:t>
      </w:r>
    </w:p>
    <w:p w:rsidR="00D110B2" w:rsidRDefault="00D110B2"/>
    <w:p w:rsidR="00D110B2" w:rsidRDefault="00830BE0">
      <w:pPr>
        <w:rPr>
          <w:color w:val="FF0000"/>
        </w:rPr>
      </w:pPr>
      <w:r>
        <w:rPr>
          <w:rFonts w:ascii="宋体" w:hAnsi="宋体" w:hint="eastAsia"/>
        </w:rPr>
        <w:t>信息项填写完成后点击工具栏中的</w:t>
      </w:r>
      <w:r>
        <w:rPr>
          <w:rFonts w:ascii="宋体" w:hAnsi="宋体" w:hint="eastAsia"/>
          <w:noProof/>
        </w:rPr>
        <w:drawing>
          <wp:inline distT="0" distB="0" distL="114300" distR="114300">
            <wp:extent cx="534670" cy="129540"/>
            <wp:effectExtent l="0" t="0" r="1778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534670" cy="129540"/>
                    </a:xfrm>
                    <a:prstGeom prst="rect">
                      <a:avLst/>
                    </a:prstGeom>
                    <a:noFill/>
                    <a:ln>
                      <a:noFill/>
                    </a:ln>
                  </pic:spPr>
                </pic:pic>
              </a:graphicData>
            </a:graphic>
          </wp:inline>
        </w:drawing>
      </w:r>
      <w:r>
        <w:rPr>
          <w:rFonts w:ascii="宋体" w:hAnsi="宋体" w:hint="eastAsia"/>
        </w:rPr>
        <w:t>，在下面会自动根据验收单中数量的值生成相应数量的资产卡片信息。</w:t>
      </w:r>
      <w:r>
        <w:rPr>
          <w:rFonts w:ascii="宋体" w:hAnsi="宋体" w:hint="eastAsia"/>
          <w:color w:val="FF0000"/>
        </w:rPr>
        <w:t>（请注意，计算机类的资产规格型号一定要精确到主机型号及配置，例如：联想启天B4360/2G/500G/19.5寸）</w:t>
      </w:r>
    </w:p>
    <w:p w:rsidR="00D110B2" w:rsidRDefault="00D110B2"/>
    <w:p w:rsidR="00D110B2" w:rsidRDefault="00830BE0">
      <w:r>
        <w:rPr>
          <w:noProof/>
        </w:rPr>
        <w:drawing>
          <wp:inline distT="0" distB="0" distL="114300" distR="114300">
            <wp:extent cx="5273040" cy="2326005"/>
            <wp:effectExtent l="0" t="0" r="3810" b="171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5273040" cy="2326005"/>
                    </a:xfrm>
                    <a:prstGeom prst="rect">
                      <a:avLst/>
                    </a:prstGeom>
                    <a:noFill/>
                    <a:ln>
                      <a:noFill/>
                    </a:ln>
                  </pic:spPr>
                </pic:pic>
              </a:graphicData>
            </a:graphic>
          </wp:inline>
        </w:drawing>
      </w:r>
    </w:p>
    <w:p w:rsidR="00D110B2" w:rsidRDefault="00D110B2"/>
    <w:p w:rsidR="00D110B2" w:rsidRDefault="00830BE0">
      <w:r>
        <w:rPr>
          <w:noProof/>
        </w:rPr>
        <w:drawing>
          <wp:inline distT="0" distB="0" distL="114300" distR="114300">
            <wp:extent cx="5266690" cy="6546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5266690" cy="65468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把资产卡片的信息填写完整（主要是使用部门、使用人、存放地点、使用方向）；</w:t>
      </w:r>
    </w:p>
    <w:p w:rsidR="00D110B2" w:rsidRDefault="00830BE0">
      <w:pPr>
        <w:rPr>
          <w:rFonts w:ascii="宋体" w:hAnsi="宋体"/>
        </w:rPr>
      </w:pPr>
      <w:r>
        <w:rPr>
          <w:rFonts w:ascii="宋体" w:hAnsi="宋体" w:hint="eastAsia"/>
        </w:rPr>
        <w:t>在点击相应的信息项后会显示</w:t>
      </w:r>
      <w:r>
        <w:rPr>
          <w:rFonts w:ascii="宋体" w:hAnsi="宋体" w:hint="eastAsia"/>
          <w:noProof/>
        </w:rPr>
        <w:drawing>
          <wp:inline distT="0" distB="0" distL="114300" distR="114300">
            <wp:extent cx="396875" cy="120650"/>
            <wp:effectExtent l="0" t="0" r="3175" b="1270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396875" cy="120650"/>
                    </a:xfrm>
                    <a:prstGeom prst="rect">
                      <a:avLst/>
                    </a:prstGeom>
                    <a:noFill/>
                    <a:ln>
                      <a:noFill/>
                    </a:ln>
                  </pic:spPr>
                </pic:pic>
              </a:graphicData>
            </a:graphic>
          </wp:inline>
        </w:drawing>
      </w:r>
      <w:r>
        <w:rPr>
          <w:rFonts w:ascii="宋体" w:hAnsi="宋体" w:hint="eastAsia"/>
        </w:rPr>
        <w:t>，点击</w:t>
      </w:r>
      <w:r>
        <w:rPr>
          <w:rFonts w:ascii="宋体" w:hAnsi="宋体" w:hint="eastAsia"/>
          <w:noProof/>
        </w:rPr>
        <w:drawing>
          <wp:inline distT="0" distB="0" distL="114300" distR="114300">
            <wp:extent cx="396875" cy="120650"/>
            <wp:effectExtent l="0" t="0" r="3175" b="1270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396875" cy="120650"/>
                    </a:xfrm>
                    <a:prstGeom prst="rect">
                      <a:avLst/>
                    </a:prstGeom>
                    <a:noFill/>
                    <a:ln>
                      <a:noFill/>
                    </a:ln>
                  </pic:spPr>
                </pic:pic>
              </a:graphicData>
            </a:graphic>
          </wp:inline>
        </w:drawing>
      </w:r>
      <w:r>
        <w:rPr>
          <w:rFonts w:ascii="宋体" w:hAnsi="宋体" w:hint="eastAsia"/>
        </w:rPr>
        <w:t>来录入。</w:t>
      </w:r>
    </w:p>
    <w:p w:rsidR="00D110B2" w:rsidRDefault="00830BE0">
      <w:pPr>
        <w:rPr>
          <w:rFonts w:ascii="宋体" w:hAnsi="宋体"/>
        </w:rPr>
      </w:pPr>
      <w:r>
        <w:rPr>
          <w:rFonts w:ascii="宋体" w:hAnsi="宋体" w:hint="eastAsia"/>
        </w:rPr>
        <w:t>说明：</w:t>
      </w:r>
    </w:p>
    <w:p w:rsidR="00D110B2" w:rsidRDefault="00830BE0">
      <w:pPr>
        <w:ind w:firstLineChars="200" w:firstLine="420"/>
      </w:pPr>
      <w:r>
        <w:rPr>
          <w:rFonts w:ascii="宋体" w:hAnsi="宋体" w:hint="eastAsia"/>
        </w:rPr>
        <w:t>录入时可批量赋值，点击“批量赋值”，弹出来赋值界面。这里我们可以选择需要赋值项并选择开始行、结束行，然后确定就可以了。</w:t>
      </w:r>
    </w:p>
    <w:p w:rsidR="00D110B2" w:rsidRDefault="00D110B2">
      <w:pPr>
        <w:ind w:firstLineChars="200" w:firstLine="420"/>
        <w:rPr>
          <w:rFonts w:ascii="宋体" w:hAnsi="宋体"/>
        </w:rPr>
      </w:pPr>
    </w:p>
    <w:p w:rsidR="00D110B2" w:rsidRDefault="00830BE0">
      <w:r>
        <w:rPr>
          <w:noProof/>
        </w:rPr>
        <w:drawing>
          <wp:inline distT="0" distB="0" distL="114300" distR="114300">
            <wp:extent cx="5265420" cy="955040"/>
            <wp:effectExtent l="0" t="0" r="11430" b="165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65420" cy="955040"/>
                    </a:xfrm>
                    <a:prstGeom prst="rect">
                      <a:avLst/>
                    </a:prstGeom>
                    <a:noFill/>
                    <a:ln>
                      <a:noFill/>
                    </a:ln>
                  </pic:spPr>
                </pic:pic>
              </a:graphicData>
            </a:graphic>
          </wp:inline>
        </w:drawing>
      </w:r>
    </w:p>
    <w:p w:rsidR="00D110B2" w:rsidRDefault="00830BE0">
      <w:r>
        <w:rPr>
          <w:noProof/>
        </w:rPr>
        <w:drawing>
          <wp:inline distT="0" distB="0" distL="114300" distR="114300">
            <wp:extent cx="5314950" cy="2162810"/>
            <wp:effectExtent l="0" t="0" r="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314950" cy="2162810"/>
                    </a:xfrm>
                    <a:prstGeom prst="rect">
                      <a:avLst/>
                    </a:prstGeom>
                    <a:noFill/>
                    <a:ln>
                      <a:noFill/>
                    </a:ln>
                  </pic:spPr>
                </pic:pic>
              </a:graphicData>
            </a:graphic>
          </wp:inline>
        </w:drawing>
      </w:r>
    </w:p>
    <w:p w:rsidR="00D110B2" w:rsidRDefault="00830BE0">
      <w:pPr>
        <w:rPr>
          <w:color w:val="FF0000"/>
        </w:rPr>
      </w:pPr>
      <w:r>
        <w:rPr>
          <w:rFonts w:hint="eastAsia"/>
          <w:color w:val="FF0000"/>
        </w:rPr>
        <w:lastRenderedPageBreak/>
        <w:t>选择相关文档，点击上传，要求每项资产上传至少两张实物照片，一张近景照，一张规格型号特写照，</w:t>
      </w:r>
      <w:r>
        <w:rPr>
          <w:rFonts w:ascii="宋体" w:hAnsi="宋体" w:hint="eastAsia"/>
          <w:color w:val="FF0000"/>
        </w:rPr>
        <w:t>必要信息填写完成后，保存。</w:t>
      </w:r>
      <w:r w:rsidR="006D65FE" w:rsidRPr="006D65FE">
        <w:rPr>
          <w:rFonts w:ascii="宋体" w:hAnsi="宋体" w:hint="eastAsia"/>
          <w:color w:val="0070C0"/>
        </w:rPr>
        <w:t>（可增加发票</w:t>
      </w:r>
      <w:r w:rsidR="006D65FE">
        <w:rPr>
          <w:rFonts w:ascii="宋体" w:hAnsi="宋体" w:hint="eastAsia"/>
          <w:color w:val="0070C0"/>
        </w:rPr>
        <w:t>照片，免得报废时再去查</w:t>
      </w:r>
      <w:r w:rsidR="006D65FE" w:rsidRPr="006D65FE">
        <w:rPr>
          <w:rFonts w:ascii="宋体" w:hAnsi="宋体" w:hint="eastAsia"/>
          <w:color w:val="0070C0"/>
        </w:rPr>
        <w:t>）</w:t>
      </w:r>
    </w:p>
    <w:p w:rsidR="00D110B2" w:rsidRDefault="00830BE0">
      <w:r>
        <w:rPr>
          <w:noProof/>
        </w:rPr>
        <w:drawing>
          <wp:inline distT="0" distB="0" distL="114300" distR="114300">
            <wp:extent cx="5273040" cy="1581150"/>
            <wp:effectExtent l="0" t="0" r="381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1"/>
                    <a:stretch>
                      <a:fillRect/>
                    </a:stretch>
                  </pic:blipFill>
                  <pic:spPr>
                    <a:xfrm>
                      <a:off x="0" y="0"/>
                      <a:ext cx="5273040" cy="1581150"/>
                    </a:xfrm>
                    <a:prstGeom prst="rect">
                      <a:avLst/>
                    </a:prstGeom>
                    <a:noFill/>
                    <a:ln>
                      <a:noFill/>
                    </a:ln>
                  </pic:spPr>
                </pic:pic>
              </a:graphicData>
            </a:graphic>
          </wp:inline>
        </w:drawing>
      </w:r>
    </w:p>
    <w:p w:rsidR="00D110B2" w:rsidRDefault="00D110B2">
      <w:pPr>
        <w:rPr>
          <w:rFonts w:ascii="宋体" w:hAnsi="宋体"/>
        </w:rPr>
      </w:pPr>
    </w:p>
    <w:p w:rsidR="00D110B2" w:rsidRDefault="00830BE0">
      <w:pPr>
        <w:rPr>
          <w:rFonts w:ascii="宋体" w:hAnsi="宋体"/>
        </w:rPr>
      </w:pPr>
      <w:r>
        <w:rPr>
          <w:rFonts w:ascii="宋体" w:hAnsi="宋体" w:hint="eastAsia"/>
        </w:rPr>
        <w:t>资产信息保存好之后回到验收单列表，选中录入的资产点击</w:t>
      </w:r>
      <w:r>
        <w:rPr>
          <w:noProof/>
        </w:rPr>
        <w:drawing>
          <wp:inline distT="0" distB="0" distL="114300" distR="114300">
            <wp:extent cx="685800" cy="2190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2"/>
                    <a:stretch>
                      <a:fillRect/>
                    </a:stretch>
                  </pic:blipFill>
                  <pic:spPr>
                    <a:xfrm>
                      <a:off x="0" y="0"/>
                      <a:ext cx="685800" cy="219075"/>
                    </a:xfrm>
                    <a:prstGeom prst="rect">
                      <a:avLst/>
                    </a:prstGeom>
                    <a:noFill/>
                    <a:ln>
                      <a:noFill/>
                    </a:ln>
                  </pic:spPr>
                </pic:pic>
              </a:graphicData>
            </a:graphic>
          </wp:inline>
        </w:drawing>
      </w:r>
      <w:r>
        <w:rPr>
          <w:rFonts w:hint="eastAsia"/>
        </w:rPr>
        <w:t>，打印资产验收单一式三联，一联给财资处留存，一联报账，一联部门自行留存，最后提交，</w:t>
      </w:r>
      <w:r>
        <w:rPr>
          <w:rFonts w:ascii="宋体" w:hAnsi="宋体" w:hint="eastAsia"/>
        </w:rPr>
        <w:t>完成资产建账</w:t>
      </w:r>
      <w:r>
        <w:rPr>
          <w:rFonts w:hint="eastAsia"/>
        </w:rPr>
        <w:t>。</w:t>
      </w:r>
    </w:p>
    <w:p w:rsidR="00D110B2" w:rsidRDefault="00830BE0">
      <w:r>
        <w:rPr>
          <w:noProof/>
        </w:rPr>
        <w:drawing>
          <wp:inline distT="0" distB="0" distL="114300" distR="114300">
            <wp:extent cx="5269865" cy="709930"/>
            <wp:effectExtent l="0" t="0" r="6985" b="139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5269865" cy="709930"/>
                    </a:xfrm>
                    <a:prstGeom prst="rect">
                      <a:avLst/>
                    </a:prstGeom>
                    <a:noFill/>
                    <a:ln>
                      <a:noFill/>
                    </a:ln>
                  </pic:spPr>
                </pic:pic>
              </a:graphicData>
            </a:graphic>
          </wp:inline>
        </w:drawing>
      </w:r>
    </w:p>
    <w:p w:rsidR="00D110B2" w:rsidRDefault="00830BE0">
      <w:pPr>
        <w:ind w:firstLineChars="100" w:firstLine="321"/>
        <w:jc w:val="center"/>
        <w:outlineLvl w:val="0"/>
        <w:rPr>
          <w:rFonts w:ascii="宋体" w:hAnsi="宋体"/>
          <w:b/>
          <w:sz w:val="32"/>
          <w:szCs w:val="32"/>
        </w:rPr>
      </w:pPr>
      <w:bookmarkStart w:id="6" w:name="_Toc32198"/>
      <w:bookmarkStart w:id="7" w:name="_Toc276020313"/>
      <w:r>
        <w:rPr>
          <w:rFonts w:ascii="宋体" w:hAnsi="宋体" w:hint="eastAsia"/>
          <w:b/>
          <w:sz w:val="32"/>
          <w:szCs w:val="32"/>
        </w:rPr>
        <w:t>三、资产的变动</w:t>
      </w:r>
      <w:bookmarkEnd w:id="6"/>
      <w:bookmarkEnd w:id="7"/>
    </w:p>
    <w:p w:rsidR="00D110B2" w:rsidRDefault="00830BE0">
      <w:r>
        <w:rPr>
          <w:rFonts w:ascii="宋体" w:hAnsi="宋体" w:hint="eastAsia"/>
        </w:rPr>
        <w:t>资产管理------资产变动-------项目变动，进入资产变动界面</w:t>
      </w:r>
    </w:p>
    <w:p w:rsidR="00D110B2" w:rsidRDefault="00830BE0">
      <w:r>
        <w:rPr>
          <w:noProof/>
        </w:rPr>
        <w:drawing>
          <wp:inline distT="0" distB="0" distL="114300" distR="114300">
            <wp:extent cx="5269230" cy="1856105"/>
            <wp:effectExtent l="0" t="0" r="762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5269230" cy="1856105"/>
                    </a:xfrm>
                    <a:prstGeom prst="rect">
                      <a:avLst/>
                    </a:prstGeom>
                    <a:noFill/>
                    <a:ln>
                      <a:noFill/>
                    </a:ln>
                  </pic:spPr>
                </pic:pic>
              </a:graphicData>
            </a:graphic>
          </wp:inline>
        </w:drawing>
      </w:r>
    </w:p>
    <w:p w:rsidR="00D110B2" w:rsidRDefault="00830BE0">
      <w:r>
        <w:rPr>
          <w:rFonts w:hint="eastAsia"/>
        </w:rPr>
        <w:t>选中需要变动的资产属于部门，点击</w:t>
      </w:r>
      <w:r>
        <w:rPr>
          <w:noProof/>
        </w:rPr>
        <w:drawing>
          <wp:inline distT="0" distB="0" distL="114300" distR="114300">
            <wp:extent cx="762000" cy="238125"/>
            <wp:effectExtent l="0" t="0" r="0"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5"/>
                    <a:stretch>
                      <a:fillRect/>
                    </a:stretch>
                  </pic:blipFill>
                  <pic:spPr>
                    <a:xfrm>
                      <a:off x="0" y="0"/>
                      <a:ext cx="762000" cy="238125"/>
                    </a:xfrm>
                    <a:prstGeom prst="rect">
                      <a:avLst/>
                    </a:prstGeom>
                    <a:noFill/>
                    <a:ln>
                      <a:noFill/>
                    </a:ln>
                  </pic:spPr>
                </pic:pic>
              </a:graphicData>
            </a:graphic>
          </wp:inline>
        </w:drawing>
      </w:r>
    </w:p>
    <w:p w:rsidR="00D110B2" w:rsidRDefault="00830BE0">
      <w:r>
        <w:rPr>
          <w:noProof/>
        </w:rPr>
        <w:drawing>
          <wp:inline distT="0" distB="0" distL="114300" distR="114300">
            <wp:extent cx="5264785" cy="1240155"/>
            <wp:effectExtent l="0" t="0" r="12065" b="171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5264785" cy="1240155"/>
                    </a:xfrm>
                    <a:prstGeom prst="rect">
                      <a:avLst/>
                    </a:prstGeom>
                    <a:noFill/>
                    <a:ln>
                      <a:noFill/>
                    </a:ln>
                  </pic:spPr>
                </pic:pic>
              </a:graphicData>
            </a:graphic>
          </wp:inline>
        </w:drawing>
      </w:r>
    </w:p>
    <w:p w:rsidR="00D110B2" w:rsidRDefault="00D110B2"/>
    <w:p w:rsidR="00D110B2" w:rsidRDefault="00D110B2"/>
    <w:p w:rsidR="00D110B2" w:rsidRDefault="00D110B2"/>
    <w:p w:rsidR="00D110B2" w:rsidRDefault="00D110B2"/>
    <w:p w:rsidR="00D110B2" w:rsidRDefault="00830BE0">
      <w:r>
        <w:rPr>
          <w:rFonts w:hint="eastAsia"/>
        </w:rPr>
        <w:lastRenderedPageBreak/>
        <w:t>第一步，选择归口人员：如截图红色框中一栏。</w:t>
      </w:r>
    </w:p>
    <w:p w:rsidR="00D110B2" w:rsidRDefault="00830BE0">
      <w:r>
        <w:rPr>
          <w:noProof/>
        </w:rPr>
        <w:drawing>
          <wp:inline distT="0" distB="0" distL="114300" distR="114300">
            <wp:extent cx="5274310" cy="1318260"/>
            <wp:effectExtent l="0" t="0" r="2540" b="152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a:stretch>
                      <a:fillRect/>
                    </a:stretch>
                  </pic:blipFill>
                  <pic:spPr>
                    <a:xfrm>
                      <a:off x="0" y="0"/>
                      <a:ext cx="5274310" cy="1318260"/>
                    </a:xfrm>
                    <a:prstGeom prst="rect">
                      <a:avLst/>
                    </a:prstGeom>
                    <a:noFill/>
                    <a:ln>
                      <a:noFill/>
                    </a:ln>
                  </pic:spPr>
                </pic:pic>
              </a:graphicData>
            </a:graphic>
          </wp:inline>
        </w:drawing>
      </w:r>
    </w:p>
    <w:p w:rsidR="00D110B2" w:rsidRDefault="00830BE0">
      <w:r>
        <w:rPr>
          <w:rFonts w:hint="eastAsia"/>
        </w:rPr>
        <w:t>第二步，选择带变动的资产后，点击</w:t>
      </w:r>
      <w:r>
        <w:rPr>
          <w:noProof/>
        </w:rPr>
        <w:drawing>
          <wp:inline distT="0" distB="0" distL="114300" distR="114300">
            <wp:extent cx="466725" cy="20955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8"/>
                    <a:stretch>
                      <a:fillRect/>
                    </a:stretch>
                  </pic:blipFill>
                  <pic:spPr>
                    <a:xfrm>
                      <a:off x="0" y="0"/>
                      <a:ext cx="466725" cy="209550"/>
                    </a:xfrm>
                    <a:prstGeom prst="rect">
                      <a:avLst/>
                    </a:prstGeom>
                    <a:noFill/>
                    <a:ln>
                      <a:noFill/>
                    </a:ln>
                  </pic:spPr>
                </pic:pic>
              </a:graphicData>
            </a:graphic>
          </wp:inline>
        </w:drawing>
      </w:r>
      <w:r>
        <w:rPr>
          <w:rFonts w:hint="eastAsia"/>
        </w:rPr>
        <w:t>，生成变动单。</w:t>
      </w:r>
    </w:p>
    <w:p w:rsidR="00D110B2" w:rsidRDefault="00830BE0">
      <w:r>
        <w:rPr>
          <w:noProof/>
        </w:rPr>
        <w:drawing>
          <wp:inline distT="0" distB="0" distL="114300" distR="114300">
            <wp:extent cx="5267325" cy="1332230"/>
            <wp:effectExtent l="0" t="0" r="9525"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5267325" cy="1332230"/>
                    </a:xfrm>
                    <a:prstGeom prst="rect">
                      <a:avLst/>
                    </a:prstGeom>
                    <a:noFill/>
                    <a:ln>
                      <a:noFill/>
                    </a:ln>
                  </pic:spPr>
                </pic:pic>
              </a:graphicData>
            </a:graphic>
          </wp:inline>
        </w:drawing>
      </w:r>
    </w:p>
    <w:p w:rsidR="00D110B2" w:rsidRDefault="00830BE0">
      <w:r>
        <w:rPr>
          <w:noProof/>
        </w:rPr>
        <w:drawing>
          <wp:inline distT="0" distB="0" distL="114300" distR="114300">
            <wp:extent cx="5272405" cy="3058795"/>
            <wp:effectExtent l="0" t="0" r="4445"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0"/>
                    <a:stretch>
                      <a:fillRect/>
                    </a:stretch>
                  </pic:blipFill>
                  <pic:spPr>
                    <a:xfrm>
                      <a:off x="0" y="0"/>
                      <a:ext cx="5272405" cy="305879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选好资产后就可以做相应的变动，不需要变动的选项不用填，变动填写完后</w:t>
      </w:r>
      <w:r>
        <w:rPr>
          <w:rFonts w:ascii="宋体" w:hAnsi="宋体" w:hint="eastAsia"/>
          <w:noProof/>
        </w:rPr>
        <w:drawing>
          <wp:inline distT="0" distB="0" distL="114300" distR="114300">
            <wp:extent cx="379730" cy="112395"/>
            <wp:effectExtent l="0" t="0" r="1270" b="190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1"/>
                    <a:stretch>
                      <a:fillRect/>
                    </a:stretch>
                  </pic:blipFill>
                  <pic:spPr>
                    <a:xfrm>
                      <a:off x="0" y="0"/>
                      <a:ext cx="379730" cy="112395"/>
                    </a:xfrm>
                    <a:prstGeom prst="rect">
                      <a:avLst/>
                    </a:prstGeom>
                    <a:noFill/>
                    <a:ln>
                      <a:noFill/>
                    </a:ln>
                  </pic:spPr>
                </pic:pic>
              </a:graphicData>
            </a:graphic>
          </wp:inline>
        </w:drawing>
      </w:r>
      <w:r>
        <w:rPr>
          <w:rFonts w:ascii="宋体" w:hAnsi="宋体" w:hint="eastAsia"/>
        </w:rPr>
        <w:t>即可。</w:t>
      </w:r>
    </w:p>
    <w:p w:rsidR="00D110B2" w:rsidRDefault="00830BE0">
      <w:pPr>
        <w:rPr>
          <w:rFonts w:ascii="宋体" w:hAnsi="宋体"/>
        </w:rPr>
      </w:pPr>
      <w:r>
        <w:rPr>
          <w:rFonts w:ascii="宋体" w:hAnsi="宋体" w:hint="eastAsia"/>
        </w:rPr>
        <w:t>在变动单列表里面选择变动的资产，点击打印预览</w:t>
      </w:r>
    </w:p>
    <w:p w:rsidR="00D110B2" w:rsidRDefault="00830BE0">
      <w:r>
        <w:rPr>
          <w:noProof/>
        </w:rPr>
        <w:drawing>
          <wp:inline distT="0" distB="0" distL="114300" distR="114300">
            <wp:extent cx="5268595" cy="1117600"/>
            <wp:effectExtent l="0" t="0" r="8255" b="635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2"/>
                    <a:stretch>
                      <a:fillRect/>
                    </a:stretch>
                  </pic:blipFill>
                  <pic:spPr>
                    <a:xfrm>
                      <a:off x="0" y="0"/>
                      <a:ext cx="5268595" cy="1117600"/>
                    </a:xfrm>
                    <a:prstGeom prst="rect">
                      <a:avLst/>
                    </a:prstGeom>
                    <a:noFill/>
                    <a:ln>
                      <a:noFill/>
                    </a:ln>
                  </pic:spPr>
                </pic:pic>
              </a:graphicData>
            </a:graphic>
          </wp:inline>
        </w:drawing>
      </w:r>
    </w:p>
    <w:p w:rsidR="00D110B2" w:rsidRDefault="00830BE0">
      <w:r>
        <w:rPr>
          <w:rFonts w:hint="eastAsia"/>
        </w:rPr>
        <w:t>将资产变动报告单交至学校资产管理员，最后选择提交。</w:t>
      </w:r>
    </w:p>
    <w:p w:rsidR="00D110B2" w:rsidRDefault="00D110B2"/>
    <w:p w:rsidR="00D110B2" w:rsidRDefault="00D110B2">
      <w:pPr>
        <w:rPr>
          <w:rFonts w:ascii="宋体" w:hAnsi="宋体"/>
        </w:rPr>
      </w:pPr>
    </w:p>
    <w:p w:rsidR="00D110B2" w:rsidRDefault="00830BE0">
      <w:r>
        <w:rPr>
          <w:noProof/>
        </w:rPr>
        <w:lastRenderedPageBreak/>
        <w:drawing>
          <wp:inline distT="0" distB="0" distL="114300" distR="114300">
            <wp:extent cx="5271135" cy="3660775"/>
            <wp:effectExtent l="0" t="0" r="5715" b="1587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3"/>
                    <a:stretch>
                      <a:fillRect/>
                    </a:stretch>
                  </pic:blipFill>
                  <pic:spPr>
                    <a:xfrm>
                      <a:off x="0" y="0"/>
                      <a:ext cx="5271135" cy="366077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t>说明：</w:t>
      </w:r>
    </w:p>
    <w:p w:rsidR="00D110B2" w:rsidRDefault="00830BE0">
      <w:pPr>
        <w:rPr>
          <w:rFonts w:ascii="宋体" w:hAnsi="宋体"/>
        </w:rPr>
      </w:pPr>
      <w:r>
        <w:rPr>
          <w:rFonts w:ascii="宋体" w:hAnsi="宋体" w:hint="eastAsia"/>
        </w:rPr>
        <w:t>1、</w:t>
      </w:r>
      <w:r w:rsidR="001F148E">
        <w:rPr>
          <w:rFonts w:ascii="宋体" w:hAnsi="宋体" w:hint="eastAsia"/>
        </w:rPr>
        <w:t>闲置资产的处理，</w:t>
      </w:r>
      <w:r>
        <w:rPr>
          <w:rFonts w:ascii="宋体" w:hAnsi="宋体" w:hint="eastAsia"/>
        </w:rPr>
        <w:t>管理员可将此资产的状态设置成“闲置”，如此可调剂给其他部门，</w:t>
      </w:r>
      <w:r>
        <w:rPr>
          <w:rFonts w:ascii="宋体" w:hAnsi="宋体" w:hint="eastAsia"/>
          <w:b/>
          <w:bCs/>
          <w:color w:val="FF0000"/>
        </w:rPr>
        <w:t>无需</w:t>
      </w:r>
      <w:r>
        <w:rPr>
          <w:rFonts w:ascii="宋体" w:hAnsi="宋体" w:hint="eastAsia"/>
        </w:rPr>
        <w:t>提交资产变动报告单；</w:t>
      </w:r>
    </w:p>
    <w:p w:rsidR="001F148E" w:rsidRDefault="00830BE0">
      <w:pPr>
        <w:rPr>
          <w:rFonts w:ascii="宋体" w:hAnsi="宋体"/>
        </w:rPr>
      </w:pPr>
      <w:r>
        <w:rPr>
          <w:rFonts w:ascii="宋体" w:hAnsi="宋体" w:hint="eastAsia"/>
        </w:rPr>
        <w:t>2、</w:t>
      </w:r>
      <w:r w:rsidR="001F148E">
        <w:rPr>
          <w:rFonts w:ascii="宋体" w:hAnsi="宋体" w:hint="eastAsia"/>
        </w:rPr>
        <w:t>资产变动的处理</w:t>
      </w:r>
    </w:p>
    <w:p w:rsidR="00501D5A" w:rsidRDefault="001F148E">
      <w:pPr>
        <w:rPr>
          <w:rFonts w:ascii="宋体" w:hAnsi="宋体"/>
        </w:rPr>
      </w:pPr>
      <w:r>
        <w:rPr>
          <w:rFonts w:ascii="宋体" w:hAnsi="宋体"/>
        </w:rPr>
        <w:t>（</w:t>
      </w:r>
      <w:r>
        <w:rPr>
          <w:rFonts w:ascii="宋体" w:hAnsi="宋体" w:hint="eastAsia"/>
        </w:rPr>
        <w:t>1）</w:t>
      </w:r>
      <w:r w:rsidR="00501D5A">
        <w:rPr>
          <w:rFonts w:ascii="宋体" w:hAnsi="宋体" w:hint="eastAsia"/>
        </w:rPr>
        <w:t>部门内资产变动：</w:t>
      </w:r>
      <w:r w:rsidR="00830BE0">
        <w:rPr>
          <w:rFonts w:ascii="宋体" w:hAnsi="宋体" w:hint="eastAsia"/>
        </w:rPr>
        <w:t>如资产的使用部门、使用人等信息需要变更，</w:t>
      </w:r>
      <w:r w:rsidR="00830BE0">
        <w:rPr>
          <w:rFonts w:ascii="宋体" w:hAnsi="宋体" w:hint="eastAsia"/>
          <w:b/>
          <w:bCs/>
          <w:color w:val="FF0000"/>
        </w:rPr>
        <w:t>需要</w:t>
      </w:r>
      <w:r w:rsidR="00830BE0">
        <w:rPr>
          <w:rFonts w:ascii="宋体" w:hAnsi="宋体" w:hint="eastAsia"/>
          <w:color w:val="000000" w:themeColor="text1"/>
        </w:rPr>
        <w:t>向学校资产管理员</w:t>
      </w:r>
      <w:r w:rsidR="00501D5A">
        <w:rPr>
          <w:rFonts w:ascii="宋体" w:hAnsi="宋体" w:hint="eastAsia"/>
        </w:rPr>
        <w:t>提交纸质资产变动报告单，</w:t>
      </w:r>
      <w:r>
        <w:rPr>
          <w:rFonts w:ascii="宋体" w:hAnsi="宋体" w:hint="eastAsia"/>
        </w:rPr>
        <w:t>申请方、</w:t>
      </w:r>
      <w:r w:rsidR="00830BE0">
        <w:rPr>
          <w:rFonts w:ascii="宋体" w:hAnsi="宋体" w:hint="eastAsia"/>
        </w:rPr>
        <w:t>调入方</w:t>
      </w:r>
      <w:r>
        <w:rPr>
          <w:rFonts w:ascii="宋体" w:hAnsi="宋体" w:hint="eastAsia"/>
        </w:rPr>
        <w:t>和</w:t>
      </w:r>
      <w:r w:rsidR="00501D5A">
        <w:rPr>
          <w:rFonts w:ascii="宋体" w:hAnsi="宋体" w:hint="eastAsia"/>
        </w:rPr>
        <w:t>部门</w:t>
      </w:r>
      <w:r>
        <w:rPr>
          <w:rFonts w:ascii="宋体" w:hAnsi="宋体" w:hint="eastAsia"/>
        </w:rPr>
        <w:t>负责人</w:t>
      </w:r>
      <w:r w:rsidR="00501D5A">
        <w:rPr>
          <w:rFonts w:ascii="宋体" w:hAnsi="宋体" w:hint="eastAsia"/>
        </w:rPr>
        <w:t xml:space="preserve">在报告单上签字确认； </w:t>
      </w:r>
      <w:r w:rsidR="00830BE0">
        <w:rPr>
          <w:rFonts w:ascii="宋体" w:hAnsi="宋体" w:hint="eastAsia"/>
        </w:rPr>
        <w:t>地点变更仅需申请方使用人签字确认即可；</w:t>
      </w:r>
    </w:p>
    <w:p w:rsidR="00D110B2" w:rsidRDefault="001F148E">
      <w:pPr>
        <w:rPr>
          <w:rFonts w:ascii="宋体" w:hAnsi="宋体"/>
        </w:rPr>
      </w:pPr>
      <w:r>
        <w:rPr>
          <w:rFonts w:ascii="宋体" w:hAnsi="宋体"/>
        </w:rPr>
        <w:t>（</w:t>
      </w:r>
      <w:r>
        <w:rPr>
          <w:rFonts w:ascii="宋体" w:hAnsi="宋体" w:hint="eastAsia"/>
        </w:rPr>
        <w:t>2）</w:t>
      </w:r>
      <w:r w:rsidR="00830BE0">
        <w:rPr>
          <w:rFonts w:ascii="宋体" w:hAnsi="宋体" w:hint="eastAsia"/>
        </w:rPr>
        <w:t>跨部门的</w:t>
      </w:r>
      <w:r>
        <w:rPr>
          <w:rFonts w:ascii="宋体" w:hAnsi="宋体" w:hint="eastAsia"/>
        </w:rPr>
        <w:t>资产变动</w:t>
      </w:r>
      <w:r w:rsidR="00830BE0">
        <w:rPr>
          <w:rFonts w:ascii="宋体" w:hAnsi="宋体" w:hint="eastAsia"/>
        </w:rPr>
        <w:t>，</w:t>
      </w:r>
      <w:r w:rsidR="00501D5A">
        <w:rPr>
          <w:rFonts w:ascii="宋体" w:hAnsi="宋体" w:hint="eastAsia"/>
        </w:rPr>
        <w:t>需要向学校资产</w:t>
      </w:r>
      <w:r w:rsidR="00501D5A">
        <w:rPr>
          <w:rFonts w:ascii="宋体" w:hAnsi="宋体" w:hint="eastAsia"/>
          <w:color w:val="000000" w:themeColor="text1"/>
        </w:rPr>
        <w:t>管理员</w:t>
      </w:r>
      <w:r w:rsidR="00501D5A">
        <w:rPr>
          <w:rFonts w:ascii="宋体" w:hAnsi="宋体" w:hint="eastAsia"/>
        </w:rPr>
        <w:t>提交纸质资产变动报告单，</w:t>
      </w:r>
      <w:r>
        <w:rPr>
          <w:rFonts w:ascii="宋体" w:hAnsi="宋体" w:hint="eastAsia"/>
        </w:rPr>
        <w:t>申请方、</w:t>
      </w:r>
      <w:r w:rsidR="00501D5A">
        <w:rPr>
          <w:rFonts w:ascii="宋体" w:hAnsi="宋体" w:hint="eastAsia"/>
        </w:rPr>
        <w:t>调入方、双方</w:t>
      </w:r>
      <w:r>
        <w:rPr>
          <w:rFonts w:ascii="宋体" w:hAnsi="宋体" w:hint="eastAsia"/>
        </w:rPr>
        <w:t>部门负责人、归口管理负责人</w:t>
      </w:r>
      <w:r w:rsidR="00830BE0">
        <w:rPr>
          <w:rFonts w:ascii="宋体" w:hAnsi="宋体" w:hint="eastAsia"/>
        </w:rPr>
        <w:t>签字确认。</w:t>
      </w:r>
    </w:p>
    <w:p w:rsidR="00D110B2" w:rsidRDefault="00D110B2"/>
    <w:p w:rsidR="00D110B2" w:rsidRDefault="00830BE0">
      <w:pPr>
        <w:jc w:val="center"/>
        <w:outlineLvl w:val="0"/>
        <w:rPr>
          <w:rFonts w:ascii="宋体" w:hAnsi="宋体"/>
          <w:b/>
          <w:sz w:val="32"/>
          <w:szCs w:val="32"/>
        </w:rPr>
      </w:pPr>
      <w:bookmarkStart w:id="8" w:name="_Toc9276"/>
      <w:r>
        <w:rPr>
          <w:rFonts w:ascii="宋体" w:hAnsi="宋体" w:hint="eastAsia"/>
          <w:b/>
          <w:sz w:val="32"/>
          <w:szCs w:val="32"/>
        </w:rPr>
        <w:t>四、资产的处置</w:t>
      </w:r>
      <w:bookmarkEnd w:id="8"/>
    </w:p>
    <w:p w:rsidR="00D110B2" w:rsidRDefault="00830BE0">
      <w:pPr>
        <w:rPr>
          <w:rFonts w:ascii="宋体" w:hAnsi="宋体"/>
        </w:rPr>
      </w:pPr>
      <w:r>
        <w:rPr>
          <w:rFonts w:ascii="宋体" w:hAnsi="宋体" w:hint="eastAsia"/>
        </w:rPr>
        <w:t>资产管理——资产处置</w:t>
      </w:r>
    </w:p>
    <w:p w:rsidR="00D110B2" w:rsidRDefault="00830BE0">
      <w:pPr>
        <w:rPr>
          <w:rFonts w:ascii="宋体" w:hAnsi="宋体"/>
        </w:rPr>
      </w:pPr>
      <w:r>
        <w:rPr>
          <w:noProof/>
        </w:rPr>
        <w:drawing>
          <wp:inline distT="0" distB="0" distL="114300" distR="114300">
            <wp:extent cx="2400300" cy="2428875"/>
            <wp:effectExtent l="0" t="0" r="0" b="9525"/>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34"/>
                    <a:stretch>
                      <a:fillRect/>
                    </a:stretch>
                  </pic:blipFill>
                  <pic:spPr>
                    <a:xfrm>
                      <a:off x="0" y="0"/>
                      <a:ext cx="2400300" cy="2428875"/>
                    </a:xfrm>
                    <a:prstGeom prst="rect">
                      <a:avLst/>
                    </a:prstGeom>
                    <a:noFill/>
                    <a:ln>
                      <a:noFill/>
                    </a:ln>
                  </pic:spPr>
                </pic:pic>
              </a:graphicData>
            </a:graphic>
          </wp:inline>
        </w:drawing>
      </w:r>
    </w:p>
    <w:p w:rsidR="00D110B2" w:rsidRDefault="00830BE0">
      <w:pPr>
        <w:rPr>
          <w:rFonts w:ascii="宋体" w:hAnsi="宋体"/>
        </w:rPr>
      </w:pPr>
      <w:r>
        <w:rPr>
          <w:rFonts w:ascii="宋体" w:hAnsi="宋体" w:hint="eastAsia"/>
        </w:rPr>
        <w:lastRenderedPageBreak/>
        <w:t>如资产已走完OA报废程序，则进行此操作；资产的处置和资产的变动操作一样。</w:t>
      </w:r>
    </w:p>
    <w:p w:rsidR="00D110B2" w:rsidRDefault="00830BE0">
      <w:pPr>
        <w:rPr>
          <w:rFonts w:ascii="宋体" w:hAnsi="宋体"/>
        </w:rPr>
      </w:pPr>
      <w:r>
        <w:rPr>
          <w:rFonts w:ascii="宋体" w:hAnsi="宋体" w:hint="eastAsia"/>
        </w:rPr>
        <w:t>资产处置报告单中处置方式：报废；评估价格和处置价值：0；</w:t>
      </w:r>
      <w:r w:rsidR="00E057B7" w:rsidRPr="00E057B7">
        <w:rPr>
          <w:rFonts w:ascii="宋体" w:hAnsi="宋体" w:hint="eastAsia"/>
          <w:color w:val="0070C0"/>
        </w:rPr>
        <w:t>（此处不清晰，</w:t>
      </w:r>
      <w:r w:rsidR="00E057B7">
        <w:rPr>
          <w:rFonts w:ascii="宋体" w:hAnsi="宋体" w:hint="eastAsia"/>
          <w:color w:val="0070C0"/>
        </w:rPr>
        <w:t>处置方式应有多种；</w:t>
      </w:r>
      <w:r w:rsidR="00E057B7" w:rsidRPr="00E057B7">
        <w:rPr>
          <w:rFonts w:ascii="宋体" w:hAnsi="宋体" w:hint="eastAsia"/>
          <w:color w:val="0070C0"/>
        </w:rPr>
        <w:t>评估价值和处置价值是</w:t>
      </w:r>
      <w:r w:rsidR="00E057B7">
        <w:rPr>
          <w:rFonts w:ascii="宋体" w:hAnsi="宋体" w:hint="eastAsia"/>
          <w:color w:val="0070C0"/>
        </w:rPr>
        <w:t>否</w:t>
      </w:r>
      <w:r w:rsidR="00E057B7" w:rsidRPr="00E057B7">
        <w:rPr>
          <w:rFonts w:ascii="宋体" w:hAnsi="宋体" w:hint="eastAsia"/>
          <w:color w:val="0070C0"/>
        </w:rPr>
        <w:t>必填项</w:t>
      </w:r>
      <w:r w:rsidR="00E057B7">
        <w:rPr>
          <w:rFonts w:ascii="宋体" w:hAnsi="宋体" w:hint="eastAsia"/>
          <w:color w:val="0070C0"/>
        </w:rPr>
        <w:t>，各部门不清楚</w:t>
      </w:r>
      <w:r w:rsidR="000010B3">
        <w:rPr>
          <w:rFonts w:ascii="宋体" w:hAnsi="宋体" w:hint="eastAsia"/>
          <w:color w:val="0070C0"/>
        </w:rPr>
        <w:t>，</w:t>
      </w:r>
      <w:r w:rsidR="00942F99">
        <w:rPr>
          <w:rFonts w:ascii="宋体" w:hAnsi="宋体" w:hint="eastAsia"/>
          <w:color w:val="0070C0"/>
        </w:rPr>
        <w:t>此段</w:t>
      </w:r>
      <w:r w:rsidR="000010B3">
        <w:rPr>
          <w:rFonts w:ascii="宋体" w:hAnsi="宋体" w:hint="eastAsia"/>
          <w:color w:val="0070C0"/>
        </w:rPr>
        <w:t>是否放到下面</w:t>
      </w:r>
      <w:r w:rsidR="00942F99">
        <w:rPr>
          <w:rFonts w:ascii="宋体" w:hAnsi="宋体" w:hint="eastAsia"/>
          <w:color w:val="0070C0"/>
        </w:rPr>
        <w:t>操作步骤</w:t>
      </w:r>
      <w:r w:rsidR="000010B3">
        <w:rPr>
          <w:rFonts w:ascii="宋体" w:hAnsi="宋体" w:hint="eastAsia"/>
          <w:color w:val="0070C0"/>
        </w:rPr>
        <w:t>里</w:t>
      </w:r>
      <w:r w:rsidR="00E057B7" w:rsidRPr="00E057B7">
        <w:rPr>
          <w:rFonts w:ascii="宋体" w:hAnsi="宋体" w:hint="eastAsia"/>
          <w:color w:val="0070C0"/>
        </w:rPr>
        <w:t>）</w:t>
      </w:r>
      <w:r>
        <w:rPr>
          <w:rFonts w:ascii="宋体" w:hAnsi="宋体" w:hint="eastAsia"/>
        </w:rPr>
        <w:t>处置原因按实际情况说明；技术鉴定意见以OA流程中技术鉴定报告为准。</w:t>
      </w:r>
    </w:p>
    <w:p w:rsidR="00D110B2" w:rsidRDefault="00830BE0">
      <w:pPr>
        <w:rPr>
          <w:rFonts w:ascii="宋体" w:hAnsi="宋体"/>
          <w:color w:val="FF0000"/>
        </w:rPr>
      </w:pPr>
      <w:r>
        <w:rPr>
          <w:rFonts w:ascii="宋体" w:hAnsi="宋体" w:hint="eastAsia"/>
          <w:color w:val="FF0000"/>
        </w:rPr>
        <w:t>另OA报废流程请传阅学校资产管理员。</w:t>
      </w:r>
    </w:p>
    <w:p w:rsidR="00D110B2" w:rsidRDefault="00830BE0">
      <w:r>
        <w:rPr>
          <w:noProof/>
        </w:rPr>
        <w:drawing>
          <wp:inline distT="0" distB="0" distL="114300" distR="114300">
            <wp:extent cx="5267960" cy="2577465"/>
            <wp:effectExtent l="0" t="0" r="8890" b="1333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35"/>
                    <a:stretch>
                      <a:fillRect/>
                    </a:stretch>
                  </pic:blipFill>
                  <pic:spPr>
                    <a:xfrm>
                      <a:off x="0" y="0"/>
                      <a:ext cx="5267960" cy="2577465"/>
                    </a:xfrm>
                    <a:prstGeom prst="rect">
                      <a:avLst/>
                    </a:prstGeom>
                    <a:noFill/>
                    <a:ln>
                      <a:noFill/>
                    </a:ln>
                  </pic:spPr>
                </pic:pic>
              </a:graphicData>
            </a:graphic>
          </wp:inline>
        </w:drawing>
      </w:r>
    </w:p>
    <w:p w:rsidR="00D110B2" w:rsidRDefault="00942F99">
      <w:pPr>
        <w:rPr>
          <w:rFonts w:ascii="宋体" w:hAnsi="宋体"/>
        </w:rPr>
      </w:pPr>
      <w:r>
        <w:rPr>
          <w:rFonts w:ascii="宋体" w:hAnsi="宋体" w:hint="eastAsia"/>
        </w:rPr>
        <w:t>1、操作步骤：</w:t>
      </w:r>
      <w:r w:rsidR="00830BE0">
        <w:rPr>
          <w:rFonts w:ascii="宋体" w:hAnsi="宋体" w:hint="eastAsia"/>
        </w:rPr>
        <w:t>在变动单列表里面选择变动的资产，点击打印预览，申报单位签字盖章确认后将纸质档连同资产报废材料交至学校资产管理员，同时移交相应资产实物，最后在系统里面提交完成资产处置程序。</w:t>
      </w:r>
    </w:p>
    <w:p w:rsidR="00D110B2" w:rsidRDefault="00830BE0">
      <w:pPr>
        <w:rPr>
          <w:rFonts w:ascii="宋体" w:hAnsi="宋体"/>
        </w:rPr>
      </w:pPr>
      <w:r>
        <w:rPr>
          <w:rFonts w:ascii="宋体" w:hAnsi="宋体" w:hint="eastAsia"/>
        </w:rPr>
        <w:t>说明：</w:t>
      </w:r>
    </w:p>
    <w:p w:rsidR="00D110B2" w:rsidRDefault="00942F99">
      <w:pPr>
        <w:rPr>
          <w:rFonts w:ascii="宋体" w:hAnsi="宋体"/>
          <w:color w:val="FF0000"/>
        </w:rPr>
      </w:pPr>
      <w:r>
        <w:rPr>
          <w:rFonts w:ascii="宋体" w:hAnsi="宋体" w:hint="eastAsia"/>
          <w:color w:val="FF0000"/>
        </w:rPr>
        <w:t>2、</w:t>
      </w:r>
      <w:r w:rsidR="00830BE0">
        <w:rPr>
          <w:rFonts w:ascii="宋体" w:hAnsi="宋体" w:hint="eastAsia"/>
          <w:color w:val="FF0000"/>
        </w:rPr>
        <w:t>资产报废材料包括：资产处置报告单、OA报废流程、资产报废技术鉴定表（此文档最后）、资产采购发票（先在资产系统里面查询会计凭证号，然后在学校档案室找到对应年份对应凭证号里面的发票，一定要是发票扫描件）、资产采购合同（如有）、国有资产处置明细清单（此文档最后）、资产实物。</w:t>
      </w:r>
    </w:p>
    <w:p w:rsidR="00D110B2" w:rsidRDefault="00830BE0">
      <w:pPr>
        <w:rPr>
          <w:rFonts w:ascii="宋体" w:hAnsi="宋体"/>
        </w:rPr>
      </w:pPr>
      <w:r>
        <w:rPr>
          <w:noProof/>
        </w:rPr>
        <w:drawing>
          <wp:inline distT="0" distB="0" distL="114300" distR="114300">
            <wp:extent cx="5269865" cy="2887345"/>
            <wp:effectExtent l="0" t="0" r="6985" b="825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6"/>
                    <a:stretch>
                      <a:fillRect/>
                    </a:stretch>
                  </pic:blipFill>
                  <pic:spPr>
                    <a:xfrm>
                      <a:off x="0" y="0"/>
                      <a:ext cx="5269865" cy="2887345"/>
                    </a:xfrm>
                    <a:prstGeom prst="rect">
                      <a:avLst/>
                    </a:prstGeom>
                    <a:noFill/>
                    <a:ln>
                      <a:noFill/>
                    </a:ln>
                  </pic:spPr>
                </pic:pic>
              </a:graphicData>
            </a:graphic>
          </wp:inline>
        </w:drawing>
      </w:r>
    </w:p>
    <w:p w:rsidR="00D110B2" w:rsidRDefault="00D110B2">
      <w:pPr>
        <w:rPr>
          <w:color w:val="FF0000"/>
        </w:rPr>
      </w:pPr>
    </w:p>
    <w:p w:rsidR="00D110B2" w:rsidRDefault="00830BE0">
      <w:pPr>
        <w:rPr>
          <w:rFonts w:ascii="宋体" w:hAnsi="宋体"/>
          <w:color w:val="FF0000"/>
        </w:rPr>
      </w:pPr>
      <w:r>
        <w:rPr>
          <w:rFonts w:ascii="宋体" w:hAnsi="宋体" w:hint="eastAsia"/>
          <w:color w:val="FF0000"/>
        </w:rPr>
        <w:t>注：1、低值耐用品系统操作同固定资产系统；</w:t>
      </w:r>
    </w:p>
    <w:p w:rsidR="00D110B2" w:rsidRDefault="00830BE0">
      <w:pPr>
        <w:rPr>
          <w:rFonts w:ascii="宋体" w:hAnsi="宋体"/>
          <w:b/>
          <w:sz w:val="32"/>
          <w:szCs w:val="32"/>
        </w:rPr>
      </w:pPr>
      <w:r>
        <w:rPr>
          <w:rFonts w:ascii="宋体" w:hAnsi="宋体" w:hint="eastAsia"/>
          <w:color w:val="FF0000"/>
        </w:rPr>
        <w:lastRenderedPageBreak/>
        <w:t xml:space="preserve">    2、低值耐用品处置报废材料：资产处置报告单、OA报废流程、国有资产处置明细清单、资产实物。</w:t>
      </w:r>
    </w:p>
    <w:p w:rsidR="00D110B2" w:rsidRDefault="00830BE0">
      <w:pPr>
        <w:jc w:val="center"/>
        <w:outlineLvl w:val="0"/>
        <w:rPr>
          <w:rFonts w:ascii="宋体" w:hAnsi="宋体"/>
          <w:b/>
          <w:sz w:val="32"/>
          <w:szCs w:val="32"/>
        </w:rPr>
      </w:pPr>
      <w:bookmarkStart w:id="9" w:name="_Toc9111"/>
      <w:r>
        <w:rPr>
          <w:rFonts w:ascii="宋体" w:hAnsi="宋体" w:hint="eastAsia"/>
          <w:b/>
          <w:sz w:val="32"/>
          <w:szCs w:val="32"/>
        </w:rPr>
        <w:t>五、资产的分类</w:t>
      </w:r>
      <w:bookmarkEnd w:id="9"/>
    </w:p>
    <w:p w:rsidR="00D110B2" w:rsidRDefault="00830BE0">
      <w:pPr>
        <w:spacing w:line="600" w:lineRule="exact"/>
        <w:ind w:firstLine="555"/>
      </w:pPr>
      <w:r>
        <w:rPr>
          <w:rFonts w:hint="eastAsia"/>
        </w:rPr>
        <w:t>1</w:t>
      </w:r>
      <w:r>
        <w:rPr>
          <w:rFonts w:hint="eastAsia"/>
        </w:rPr>
        <w:t>、固定资产：一般设备（行政办公、生活后勤使用的）单台件价值在</w:t>
      </w:r>
      <w:r>
        <w:rPr>
          <w:rFonts w:hint="eastAsia"/>
        </w:rPr>
        <w:t>1000</w:t>
      </w:r>
      <w:r>
        <w:rPr>
          <w:rFonts w:hint="eastAsia"/>
        </w:rPr>
        <w:t>元以上（合</w:t>
      </w:r>
      <w:r>
        <w:rPr>
          <w:rFonts w:hint="eastAsia"/>
        </w:rPr>
        <w:t>1000</w:t>
      </w:r>
      <w:r>
        <w:rPr>
          <w:rFonts w:hint="eastAsia"/>
        </w:rPr>
        <w:t>元）；专用设备（教学、科研使用的）单台价值在</w:t>
      </w:r>
      <w:r>
        <w:rPr>
          <w:rFonts w:hint="eastAsia"/>
        </w:rPr>
        <w:t>1500</w:t>
      </w:r>
      <w:r>
        <w:rPr>
          <w:rFonts w:hint="eastAsia"/>
        </w:rPr>
        <w:t>元以上（含</w:t>
      </w:r>
      <w:r>
        <w:rPr>
          <w:rFonts w:hint="eastAsia"/>
        </w:rPr>
        <w:t>1500</w:t>
      </w:r>
      <w:r>
        <w:rPr>
          <w:rFonts w:hint="eastAsia"/>
        </w:rPr>
        <w:t>元），使用期限在一年以上，并在使用过程中基本保持原来物质形态的资产。单台套价值虽未达到上述规定标准但是使用时间在</w:t>
      </w:r>
      <w:r>
        <w:rPr>
          <w:rFonts w:hint="eastAsia"/>
        </w:rPr>
        <w:t>1</w:t>
      </w:r>
      <w:r>
        <w:rPr>
          <w:rFonts w:hint="eastAsia"/>
        </w:rPr>
        <w:t>年以上的大批同类物资，也作为固定资产管理。</w:t>
      </w:r>
    </w:p>
    <w:p w:rsidR="00D110B2" w:rsidRDefault="00830BE0">
      <w:pPr>
        <w:spacing w:line="600" w:lineRule="exact"/>
        <w:ind w:firstLine="555"/>
      </w:pPr>
      <w:r>
        <w:rPr>
          <w:rFonts w:hint="eastAsia"/>
        </w:rPr>
        <w:t>2</w:t>
      </w:r>
      <w:r>
        <w:rPr>
          <w:rFonts w:hint="eastAsia"/>
        </w:rPr>
        <w:t>、低值耐用品：单台套价值虽未达到上述规定标准但是使用时间在</w:t>
      </w:r>
      <w:r>
        <w:rPr>
          <w:rFonts w:hint="eastAsia"/>
        </w:rPr>
        <w:t>1</w:t>
      </w:r>
      <w:r>
        <w:rPr>
          <w:rFonts w:hint="eastAsia"/>
        </w:rPr>
        <w:t>年以上的少量同类物资，作为低值耐用品管理，其状态发生变化时报财务与资产管理处备案登记。</w:t>
      </w:r>
    </w:p>
    <w:p w:rsidR="00D110B2" w:rsidRDefault="00830BE0">
      <w:pPr>
        <w:spacing w:line="600" w:lineRule="exact"/>
        <w:ind w:firstLine="555"/>
      </w:pPr>
      <w:r>
        <w:rPr>
          <w:rFonts w:hint="eastAsia"/>
        </w:rPr>
        <w:t>3</w:t>
      </w:r>
      <w:r>
        <w:rPr>
          <w:rFonts w:hint="eastAsia"/>
        </w:rPr>
        <w:t>、实际操作常用情形：</w:t>
      </w:r>
    </w:p>
    <w:p w:rsidR="00D110B2" w:rsidRDefault="00830BE0">
      <w:pPr>
        <w:spacing w:line="600" w:lineRule="exact"/>
        <w:ind w:firstLine="555"/>
      </w:pPr>
      <w:r>
        <w:rPr>
          <w:rFonts w:hint="eastAsia"/>
        </w:rPr>
        <w:t>（</w:t>
      </w:r>
      <w:r>
        <w:rPr>
          <w:rFonts w:hint="eastAsia"/>
        </w:rPr>
        <w:t>1</w:t>
      </w:r>
      <w:r>
        <w:rPr>
          <w:rFonts w:hint="eastAsia"/>
        </w:rPr>
        <w:t>）单台套价值达到固定资产规定标准，但由于该项资产损耗性大且体型较小容易丢失，则作为低值耐用品管理，如移动硬盘等；</w:t>
      </w:r>
    </w:p>
    <w:p w:rsidR="00D110B2" w:rsidRDefault="00830BE0">
      <w:pPr>
        <w:spacing w:line="600" w:lineRule="exact"/>
        <w:ind w:firstLine="555"/>
      </w:pPr>
      <w:r>
        <w:rPr>
          <w:rFonts w:hint="eastAsia"/>
        </w:rPr>
        <w:t>（</w:t>
      </w:r>
      <w:r>
        <w:rPr>
          <w:rFonts w:hint="eastAsia"/>
        </w:rPr>
        <w:t>2</w:t>
      </w:r>
      <w:r>
        <w:rPr>
          <w:rFonts w:hint="eastAsia"/>
        </w:rPr>
        <w:t>）单台套价值达到固定资产或低值耐用品规定标准，但由于该项资产体型较小且需要安装在另一个大件资产中才能使用，则作为耗材管理，如固态硬盘等；</w:t>
      </w:r>
    </w:p>
    <w:p w:rsidR="00D110B2" w:rsidRDefault="00830BE0">
      <w:pPr>
        <w:spacing w:line="600" w:lineRule="exact"/>
        <w:ind w:firstLine="555"/>
      </w:pPr>
      <w:r>
        <w:rPr>
          <w:rFonts w:hint="eastAsia"/>
        </w:rPr>
        <w:t>（</w:t>
      </w:r>
      <w:r>
        <w:rPr>
          <w:rFonts w:hint="eastAsia"/>
        </w:rPr>
        <w:t>3</w:t>
      </w:r>
      <w:r>
        <w:rPr>
          <w:rFonts w:hint="eastAsia"/>
        </w:rPr>
        <w:t>）单台套价值虽未达到固定资产规定标准、使用时间在</w:t>
      </w:r>
      <w:r>
        <w:rPr>
          <w:rFonts w:hint="eastAsia"/>
        </w:rPr>
        <w:t>1</w:t>
      </w:r>
      <w:r>
        <w:rPr>
          <w:rFonts w:hint="eastAsia"/>
        </w:rPr>
        <w:t>年以上的物资，但由于该资产体型较大比较醒目，且经常使用，也作为固定资产管理，如热水器、洗衣机等。</w:t>
      </w:r>
    </w:p>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D110B2"/>
    <w:p w:rsidR="00D110B2" w:rsidRDefault="00830BE0">
      <w:pPr>
        <w:jc w:val="center"/>
        <w:outlineLvl w:val="0"/>
        <w:rPr>
          <w:b/>
          <w:sz w:val="36"/>
          <w:szCs w:val="36"/>
        </w:rPr>
      </w:pPr>
      <w:bookmarkStart w:id="10" w:name="_Toc5932"/>
      <w:bookmarkStart w:id="11" w:name="_Toc20414"/>
      <w:r>
        <w:rPr>
          <w:rFonts w:hint="eastAsia"/>
          <w:b/>
          <w:sz w:val="36"/>
          <w:szCs w:val="36"/>
        </w:rPr>
        <w:t>湖南商务职业技术学院</w:t>
      </w:r>
      <w:bookmarkEnd w:id="10"/>
      <w:bookmarkEnd w:id="11"/>
    </w:p>
    <w:p w:rsidR="00D110B2" w:rsidRDefault="00830BE0">
      <w:pPr>
        <w:jc w:val="center"/>
        <w:outlineLvl w:val="0"/>
        <w:rPr>
          <w:rFonts w:ascii="宋体" w:hAnsi="宋体" w:cs="宋体"/>
          <w:b/>
          <w:bCs/>
          <w:kern w:val="0"/>
          <w:sz w:val="36"/>
          <w:szCs w:val="36"/>
        </w:rPr>
      </w:pPr>
      <w:bookmarkStart w:id="12" w:name="_Toc1365"/>
      <w:r>
        <w:rPr>
          <w:rFonts w:hint="eastAsia"/>
          <w:b/>
          <w:sz w:val="36"/>
          <w:szCs w:val="36"/>
        </w:rPr>
        <w:t>国有资产报废技术鉴定表</w:t>
      </w:r>
      <w:bookmarkEnd w:id="12"/>
    </w:p>
    <w:p w:rsidR="00D110B2" w:rsidRDefault="00830BE0">
      <w:pPr>
        <w:rPr>
          <w:rFonts w:ascii="宋体" w:hAnsi="宋体" w:cs="宋体"/>
          <w:bCs/>
          <w:kern w:val="0"/>
          <w:sz w:val="24"/>
        </w:rPr>
      </w:pPr>
      <w:r>
        <w:rPr>
          <w:rFonts w:ascii="宋体" w:hAnsi="宋体" w:cs="宋体" w:hint="eastAsia"/>
          <w:bCs/>
          <w:kern w:val="0"/>
          <w:sz w:val="24"/>
        </w:rPr>
        <w:t>使用单位：                                 日期：</w:t>
      </w:r>
      <w:r w:rsidR="00373A8C">
        <w:rPr>
          <w:rFonts w:ascii="宋体" w:hAnsi="宋体" w:cs="宋体" w:hint="eastAsia"/>
          <w:bCs/>
          <w:kern w:val="0"/>
          <w:sz w:val="24"/>
        </w:rPr>
        <w:t xml:space="preserve"> </w:t>
      </w:r>
      <w:r w:rsidR="00373A8C">
        <w:rPr>
          <w:rFonts w:ascii="宋体" w:hAnsi="宋体" w:cs="宋体"/>
          <w:bCs/>
          <w:kern w:val="0"/>
          <w:sz w:val="24"/>
        </w:rPr>
        <w:t xml:space="preserve">    </w:t>
      </w:r>
      <w:r>
        <w:rPr>
          <w:rFonts w:ascii="宋体" w:hAnsi="宋体" w:cs="宋体"/>
          <w:color w:val="000000"/>
          <w:sz w:val="24"/>
        </w:rPr>
        <w:t>年</w:t>
      </w:r>
      <w:r w:rsidR="00373A8C">
        <w:rPr>
          <w:rFonts w:ascii="宋体" w:hAnsi="宋体" w:cs="宋体" w:hint="eastAsia"/>
          <w:color w:val="000000"/>
          <w:sz w:val="24"/>
        </w:rPr>
        <w:t xml:space="preserve"> </w:t>
      </w:r>
      <w:r w:rsidR="00373A8C">
        <w:rPr>
          <w:rFonts w:ascii="宋体" w:hAnsi="宋体" w:cs="宋体"/>
          <w:color w:val="000000"/>
          <w:sz w:val="24"/>
        </w:rPr>
        <w:t xml:space="preserve">   </w:t>
      </w:r>
      <w:bookmarkStart w:id="13" w:name="_GoBack"/>
      <w:bookmarkEnd w:id="13"/>
      <w:r>
        <w:rPr>
          <w:rFonts w:ascii="宋体" w:hAnsi="宋体" w:cs="宋体"/>
          <w:color w:val="000000"/>
          <w:sz w:val="24"/>
        </w:rPr>
        <w:t>月</w:t>
      </w:r>
      <w:r w:rsidR="00373A8C">
        <w:rPr>
          <w:rFonts w:ascii="宋体" w:hAnsi="宋体" w:cs="宋体" w:hint="eastAsia"/>
          <w:color w:val="000000"/>
          <w:sz w:val="24"/>
        </w:rPr>
        <w:t xml:space="preserve"> </w:t>
      </w:r>
      <w:r w:rsidR="00373A8C">
        <w:rPr>
          <w:rFonts w:ascii="宋体" w:hAnsi="宋体" w:cs="宋体"/>
          <w:color w:val="000000"/>
          <w:sz w:val="24"/>
        </w:rPr>
        <w:t xml:space="preserve">   </w:t>
      </w:r>
      <w:r>
        <w:rPr>
          <w:rFonts w:ascii="宋体" w:hAnsi="宋体" w:cs="宋体"/>
          <w:color w:val="000000"/>
          <w:sz w:val="24"/>
        </w:rPr>
        <w:t>日</w:t>
      </w:r>
    </w:p>
    <w:tbl>
      <w:tblPr>
        <w:tblW w:w="105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33"/>
        <w:gridCol w:w="1271"/>
        <w:gridCol w:w="304"/>
        <w:gridCol w:w="1850"/>
        <w:gridCol w:w="780"/>
        <w:gridCol w:w="1664"/>
        <w:gridCol w:w="1271"/>
        <w:gridCol w:w="1271"/>
        <w:gridCol w:w="955"/>
      </w:tblGrid>
      <w:tr w:rsidR="00373A8C" w:rsidTr="00373A8C">
        <w:trPr>
          <w:trHeight w:val="397"/>
          <w:jc w:val="center"/>
        </w:trPr>
        <w:tc>
          <w:tcPr>
            <w:tcW w:w="1233" w:type="dxa"/>
            <w:vAlign w:val="center"/>
          </w:tcPr>
          <w:p w:rsidR="00373A8C" w:rsidRDefault="00373A8C">
            <w:pPr>
              <w:widowControl/>
              <w:jc w:val="center"/>
              <w:rPr>
                <w:rFonts w:ascii="宋体" w:hAnsi="宋体" w:cs="宋体"/>
                <w:kern w:val="0"/>
                <w:sz w:val="24"/>
              </w:rPr>
            </w:pPr>
            <w:r>
              <w:rPr>
                <w:rFonts w:ascii="宋体" w:hAnsi="宋体" w:cs="宋体" w:hint="eastAsia"/>
                <w:kern w:val="0"/>
                <w:sz w:val="24"/>
              </w:rPr>
              <w:t>资产编号</w:t>
            </w:r>
          </w:p>
        </w:tc>
        <w:tc>
          <w:tcPr>
            <w:tcW w:w="1575" w:type="dxa"/>
            <w:gridSpan w:val="2"/>
            <w:vAlign w:val="center"/>
          </w:tcPr>
          <w:p w:rsidR="00373A8C" w:rsidRDefault="00373A8C">
            <w:pPr>
              <w:widowControl/>
              <w:jc w:val="center"/>
              <w:rPr>
                <w:rFonts w:ascii="宋体" w:hAnsi="宋体" w:cs="宋体"/>
                <w:kern w:val="0"/>
                <w:sz w:val="24"/>
              </w:rPr>
            </w:pPr>
            <w:r>
              <w:rPr>
                <w:rFonts w:ascii="宋体" w:hAnsi="宋体" w:cs="宋体" w:hint="eastAsia"/>
                <w:kern w:val="0"/>
                <w:sz w:val="24"/>
              </w:rPr>
              <w:t>资产名称</w:t>
            </w:r>
          </w:p>
        </w:tc>
        <w:tc>
          <w:tcPr>
            <w:tcW w:w="1850" w:type="dxa"/>
            <w:vAlign w:val="center"/>
          </w:tcPr>
          <w:p w:rsidR="00373A8C" w:rsidRDefault="00373A8C">
            <w:pPr>
              <w:widowControl/>
              <w:jc w:val="center"/>
              <w:rPr>
                <w:rFonts w:ascii="宋体" w:hAnsi="宋体" w:cs="宋体"/>
                <w:kern w:val="0"/>
                <w:sz w:val="24"/>
              </w:rPr>
            </w:pPr>
            <w:r>
              <w:rPr>
                <w:rFonts w:ascii="宋体" w:hAnsi="宋体" w:cs="宋体" w:hint="eastAsia"/>
                <w:kern w:val="0"/>
                <w:sz w:val="24"/>
              </w:rPr>
              <w:t>规格型号</w:t>
            </w:r>
          </w:p>
        </w:tc>
        <w:tc>
          <w:tcPr>
            <w:tcW w:w="780" w:type="dxa"/>
            <w:vAlign w:val="center"/>
          </w:tcPr>
          <w:p w:rsidR="00373A8C" w:rsidRDefault="00373A8C">
            <w:pPr>
              <w:widowControl/>
              <w:jc w:val="center"/>
              <w:rPr>
                <w:rFonts w:ascii="宋体" w:hAnsi="宋体" w:cs="宋体"/>
                <w:kern w:val="0"/>
                <w:sz w:val="24"/>
              </w:rPr>
            </w:pPr>
            <w:r>
              <w:rPr>
                <w:rFonts w:ascii="宋体" w:hAnsi="宋体" w:cs="宋体" w:hint="eastAsia"/>
                <w:kern w:val="0"/>
                <w:sz w:val="24"/>
              </w:rPr>
              <w:t>数量</w:t>
            </w:r>
          </w:p>
        </w:tc>
        <w:tc>
          <w:tcPr>
            <w:tcW w:w="1664" w:type="dxa"/>
            <w:tcBorders>
              <w:right w:val="single" w:sz="4" w:space="0" w:color="auto"/>
            </w:tcBorders>
            <w:vAlign w:val="center"/>
          </w:tcPr>
          <w:p w:rsidR="00373A8C" w:rsidRDefault="00373A8C">
            <w:pPr>
              <w:widowControl/>
              <w:jc w:val="center"/>
              <w:rPr>
                <w:rFonts w:ascii="宋体" w:hAnsi="宋体" w:cs="宋体"/>
                <w:kern w:val="0"/>
                <w:sz w:val="24"/>
              </w:rPr>
            </w:pPr>
            <w:r>
              <w:rPr>
                <w:rFonts w:ascii="宋体" w:hAnsi="宋体" w:cs="宋体" w:hint="eastAsia"/>
                <w:kern w:val="0"/>
                <w:sz w:val="24"/>
              </w:rPr>
              <w:t>账面原值（元）</w:t>
            </w:r>
          </w:p>
        </w:tc>
        <w:tc>
          <w:tcPr>
            <w:tcW w:w="1271" w:type="dxa"/>
            <w:tcBorders>
              <w:right w:val="single" w:sz="4" w:space="0" w:color="auto"/>
            </w:tcBorders>
          </w:tcPr>
          <w:p w:rsidR="00373A8C" w:rsidRDefault="00373A8C">
            <w:pPr>
              <w:jc w:val="center"/>
              <w:rPr>
                <w:rFonts w:hint="eastAsia"/>
                <w:sz w:val="24"/>
              </w:rPr>
            </w:pPr>
          </w:p>
        </w:tc>
        <w:tc>
          <w:tcPr>
            <w:tcW w:w="1271" w:type="dxa"/>
            <w:tcBorders>
              <w:left w:val="single" w:sz="4" w:space="0" w:color="auto"/>
            </w:tcBorders>
            <w:vAlign w:val="center"/>
          </w:tcPr>
          <w:p w:rsidR="00373A8C" w:rsidRDefault="00373A8C">
            <w:pPr>
              <w:jc w:val="center"/>
              <w:rPr>
                <w:rFonts w:ascii="宋体" w:hAnsi="宋体" w:cs="宋体"/>
                <w:kern w:val="0"/>
                <w:sz w:val="24"/>
              </w:rPr>
            </w:pPr>
            <w:r>
              <w:rPr>
                <w:rFonts w:hint="eastAsia"/>
                <w:sz w:val="24"/>
              </w:rPr>
              <w:t>购</w:t>
            </w:r>
            <w:r>
              <w:rPr>
                <w:rFonts w:ascii="宋体" w:hAnsi="宋体" w:cs="宋体" w:hint="eastAsia"/>
                <w:kern w:val="0"/>
                <w:sz w:val="24"/>
              </w:rPr>
              <w:t>建日期</w:t>
            </w:r>
          </w:p>
        </w:tc>
        <w:tc>
          <w:tcPr>
            <w:tcW w:w="955" w:type="dxa"/>
            <w:vAlign w:val="center"/>
          </w:tcPr>
          <w:p w:rsidR="00373A8C" w:rsidRDefault="00373A8C">
            <w:pPr>
              <w:widowControl/>
              <w:jc w:val="center"/>
              <w:rPr>
                <w:rFonts w:ascii="宋体" w:hAnsi="宋体" w:cs="宋体"/>
                <w:kern w:val="0"/>
                <w:sz w:val="24"/>
              </w:rPr>
            </w:pPr>
            <w:r>
              <w:rPr>
                <w:rFonts w:ascii="宋体" w:hAnsi="宋体" w:cs="宋体" w:hint="eastAsia"/>
                <w:kern w:val="0"/>
                <w:sz w:val="24"/>
              </w:rPr>
              <w:t>备注</w:t>
            </w:r>
          </w:p>
        </w:tc>
      </w:tr>
      <w:tr w:rsidR="00373A8C" w:rsidTr="00373A8C">
        <w:trPr>
          <w:trHeight w:val="567"/>
          <w:jc w:val="center"/>
        </w:trPr>
        <w:tc>
          <w:tcPr>
            <w:tcW w:w="1233" w:type="dxa"/>
            <w:vAlign w:val="center"/>
          </w:tcPr>
          <w:p w:rsidR="00373A8C" w:rsidRDefault="00373A8C">
            <w:pPr>
              <w:jc w:val="center"/>
              <w:rPr>
                <w:rFonts w:ascii="宋体" w:hAnsi="宋体" w:cs="宋体"/>
                <w:kern w:val="0"/>
                <w:sz w:val="24"/>
              </w:rPr>
            </w:pPr>
          </w:p>
        </w:tc>
        <w:tc>
          <w:tcPr>
            <w:tcW w:w="1575" w:type="dxa"/>
            <w:gridSpan w:val="2"/>
            <w:vAlign w:val="center"/>
          </w:tcPr>
          <w:p w:rsidR="00373A8C" w:rsidRDefault="00373A8C">
            <w:pPr>
              <w:jc w:val="center"/>
              <w:rPr>
                <w:rFonts w:ascii="宋体" w:hAnsi="宋体" w:cs="Arial"/>
                <w:sz w:val="20"/>
                <w:szCs w:val="20"/>
              </w:rPr>
            </w:pPr>
          </w:p>
        </w:tc>
        <w:tc>
          <w:tcPr>
            <w:tcW w:w="1850" w:type="dxa"/>
            <w:vAlign w:val="center"/>
          </w:tcPr>
          <w:p w:rsidR="00373A8C" w:rsidRDefault="00373A8C">
            <w:pPr>
              <w:jc w:val="center"/>
              <w:rPr>
                <w:rFonts w:ascii="宋体" w:hAnsi="宋体" w:cs="Arial"/>
                <w:sz w:val="20"/>
                <w:szCs w:val="20"/>
              </w:rPr>
            </w:pPr>
          </w:p>
        </w:tc>
        <w:tc>
          <w:tcPr>
            <w:tcW w:w="780" w:type="dxa"/>
            <w:vAlign w:val="center"/>
          </w:tcPr>
          <w:p w:rsidR="00373A8C" w:rsidRDefault="00373A8C">
            <w:pPr>
              <w:jc w:val="center"/>
              <w:rPr>
                <w:rFonts w:ascii="宋体" w:hAnsi="宋体" w:cs="宋体"/>
                <w:kern w:val="0"/>
                <w:sz w:val="24"/>
              </w:rPr>
            </w:pPr>
          </w:p>
        </w:tc>
        <w:tc>
          <w:tcPr>
            <w:tcW w:w="1664" w:type="dxa"/>
            <w:tcBorders>
              <w:right w:val="single" w:sz="4" w:space="0" w:color="auto"/>
            </w:tcBorders>
            <w:vAlign w:val="center"/>
          </w:tcPr>
          <w:p w:rsidR="00373A8C" w:rsidRDefault="00373A8C">
            <w:pPr>
              <w:jc w:val="center"/>
              <w:rPr>
                <w:rFonts w:ascii="Arial" w:hAnsi="Arial" w:cs="Arial"/>
                <w:sz w:val="20"/>
                <w:szCs w:val="20"/>
              </w:rPr>
            </w:pPr>
          </w:p>
        </w:tc>
        <w:tc>
          <w:tcPr>
            <w:tcW w:w="1271" w:type="dxa"/>
            <w:tcBorders>
              <w:right w:val="single" w:sz="4" w:space="0" w:color="auto"/>
            </w:tcBorders>
          </w:tcPr>
          <w:p w:rsidR="00373A8C" w:rsidRDefault="00373A8C">
            <w:pPr>
              <w:jc w:val="center"/>
              <w:rPr>
                <w:rFonts w:ascii="宋体" w:hAnsi="宋体" w:cs="Arial"/>
                <w:sz w:val="20"/>
                <w:szCs w:val="20"/>
              </w:rPr>
            </w:pPr>
          </w:p>
        </w:tc>
        <w:tc>
          <w:tcPr>
            <w:tcW w:w="1271" w:type="dxa"/>
            <w:tcBorders>
              <w:left w:val="single" w:sz="4" w:space="0" w:color="auto"/>
            </w:tcBorders>
            <w:vAlign w:val="center"/>
          </w:tcPr>
          <w:p w:rsidR="00373A8C" w:rsidRDefault="00373A8C">
            <w:pPr>
              <w:jc w:val="center"/>
              <w:rPr>
                <w:rFonts w:ascii="宋体" w:hAnsi="宋体" w:cs="Arial"/>
                <w:sz w:val="20"/>
                <w:szCs w:val="20"/>
              </w:rPr>
            </w:pPr>
          </w:p>
        </w:tc>
        <w:tc>
          <w:tcPr>
            <w:tcW w:w="955" w:type="dxa"/>
            <w:vAlign w:val="center"/>
          </w:tcPr>
          <w:p w:rsidR="00373A8C" w:rsidRDefault="00373A8C">
            <w:pPr>
              <w:jc w:val="center"/>
              <w:rPr>
                <w:rFonts w:ascii="宋体" w:hAnsi="宋体" w:cs="宋体"/>
                <w:kern w:val="0"/>
                <w:sz w:val="24"/>
              </w:rPr>
            </w:pPr>
          </w:p>
        </w:tc>
      </w:tr>
      <w:tr w:rsidR="00373A8C" w:rsidTr="00373A8C">
        <w:trPr>
          <w:trHeight w:val="567"/>
          <w:jc w:val="center"/>
        </w:trPr>
        <w:tc>
          <w:tcPr>
            <w:tcW w:w="1233" w:type="dxa"/>
            <w:vAlign w:val="center"/>
          </w:tcPr>
          <w:p w:rsidR="00373A8C" w:rsidRDefault="00373A8C">
            <w:pPr>
              <w:jc w:val="center"/>
              <w:rPr>
                <w:rFonts w:ascii="宋体" w:hAnsi="宋体" w:cs="宋体"/>
                <w:kern w:val="0"/>
                <w:sz w:val="24"/>
              </w:rPr>
            </w:pPr>
          </w:p>
        </w:tc>
        <w:tc>
          <w:tcPr>
            <w:tcW w:w="1575" w:type="dxa"/>
            <w:gridSpan w:val="2"/>
            <w:vAlign w:val="center"/>
          </w:tcPr>
          <w:p w:rsidR="00373A8C" w:rsidRDefault="00373A8C">
            <w:pPr>
              <w:jc w:val="center"/>
              <w:rPr>
                <w:rFonts w:ascii="宋体" w:hAnsi="宋体" w:cs="Arial"/>
                <w:sz w:val="20"/>
                <w:szCs w:val="20"/>
              </w:rPr>
            </w:pPr>
          </w:p>
        </w:tc>
        <w:tc>
          <w:tcPr>
            <w:tcW w:w="1850" w:type="dxa"/>
            <w:vAlign w:val="center"/>
          </w:tcPr>
          <w:p w:rsidR="00373A8C" w:rsidRDefault="00373A8C">
            <w:pPr>
              <w:jc w:val="center"/>
              <w:rPr>
                <w:rFonts w:ascii="宋体" w:hAnsi="宋体" w:cs="Arial"/>
                <w:sz w:val="20"/>
                <w:szCs w:val="20"/>
              </w:rPr>
            </w:pPr>
          </w:p>
        </w:tc>
        <w:tc>
          <w:tcPr>
            <w:tcW w:w="780" w:type="dxa"/>
            <w:vAlign w:val="center"/>
          </w:tcPr>
          <w:p w:rsidR="00373A8C" w:rsidRDefault="00373A8C">
            <w:pPr>
              <w:jc w:val="center"/>
              <w:rPr>
                <w:rFonts w:ascii="宋体" w:hAnsi="宋体"/>
              </w:rPr>
            </w:pPr>
          </w:p>
        </w:tc>
        <w:tc>
          <w:tcPr>
            <w:tcW w:w="1664" w:type="dxa"/>
            <w:tcBorders>
              <w:right w:val="single" w:sz="4" w:space="0" w:color="auto"/>
            </w:tcBorders>
            <w:vAlign w:val="center"/>
          </w:tcPr>
          <w:p w:rsidR="00373A8C" w:rsidRDefault="00373A8C">
            <w:pPr>
              <w:jc w:val="center"/>
              <w:rPr>
                <w:rFonts w:ascii="Arial" w:hAnsi="Arial" w:cs="Arial"/>
                <w:sz w:val="20"/>
                <w:szCs w:val="20"/>
              </w:rPr>
            </w:pPr>
          </w:p>
        </w:tc>
        <w:tc>
          <w:tcPr>
            <w:tcW w:w="1271" w:type="dxa"/>
            <w:tcBorders>
              <w:right w:val="single" w:sz="4" w:space="0" w:color="auto"/>
            </w:tcBorders>
          </w:tcPr>
          <w:p w:rsidR="00373A8C" w:rsidRDefault="00373A8C">
            <w:pPr>
              <w:jc w:val="center"/>
              <w:rPr>
                <w:rFonts w:ascii="宋体" w:hAnsi="宋体" w:cs="Arial"/>
                <w:sz w:val="20"/>
                <w:szCs w:val="20"/>
              </w:rPr>
            </w:pPr>
          </w:p>
        </w:tc>
        <w:tc>
          <w:tcPr>
            <w:tcW w:w="1271" w:type="dxa"/>
            <w:tcBorders>
              <w:left w:val="single" w:sz="4" w:space="0" w:color="auto"/>
            </w:tcBorders>
            <w:vAlign w:val="center"/>
          </w:tcPr>
          <w:p w:rsidR="00373A8C" w:rsidRDefault="00373A8C">
            <w:pPr>
              <w:jc w:val="center"/>
              <w:rPr>
                <w:rFonts w:ascii="宋体" w:hAnsi="宋体" w:cs="Arial"/>
                <w:sz w:val="20"/>
                <w:szCs w:val="20"/>
              </w:rPr>
            </w:pPr>
          </w:p>
        </w:tc>
        <w:tc>
          <w:tcPr>
            <w:tcW w:w="955" w:type="dxa"/>
            <w:vAlign w:val="center"/>
          </w:tcPr>
          <w:p w:rsidR="00373A8C" w:rsidRDefault="00373A8C">
            <w:pPr>
              <w:jc w:val="center"/>
              <w:rPr>
                <w:rFonts w:ascii="宋体" w:hAnsi="宋体" w:cs="宋体"/>
                <w:kern w:val="0"/>
                <w:sz w:val="24"/>
              </w:rPr>
            </w:pPr>
          </w:p>
        </w:tc>
      </w:tr>
      <w:tr w:rsidR="00373A8C" w:rsidTr="00373A8C">
        <w:trPr>
          <w:trHeight w:val="567"/>
          <w:jc w:val="center"/>
        </w:trPr>
        <w:tc>
          <w:tcPr>
            <w:tcW w:w="1233" w:type="dxa"/>
            <w:vAlign w:val="center"/>
          </w:tcPr>
          <w:p w:rsidR="00373A8C" w:rsidRDefault="00373A8C">
            <w:pPr>
              <w:jc w:val="center"/>
              <w:rPr>
                <w:rFonts w:ascii="宋体" w:hAnsi="宋体" w:cs="宋体"/>
                <w:kern w:val="0"/>
                <w:sz w:val="24"/>
              </w:rPr>
            </w:pPr>
          </w:p>
        </w:tc>
        <w:tc>
          <w:tcPr>
            <w:tcW w:w="1575" w:type="dxa"/>
            <w:gridSpan w:val="2"/>
            <w:vAlign w:val="center"/>
          </w:tcPr>
          <w:p w:rsidR="00373A8C" w:rsidRDefault="00373A8C">
            <w:pPr>
              <w:jc w:val="center"/>
              <w:rPr>
                <w:rFonts w:ascii="宋体" w:hAnsi="宋体" w:cs="Arial"/>
                <w:sz w:val="20"/>
                <w:szCs w:val="20"/>
              </w:rPr>
            </w:pPr>
          </w:p>
        </w:tc>
        <w:tc>
          <w:tcPr>
            <w:tcW w:w="1850" w:type="dxa"/>
            <w:vAlign w:val="center"/>
          </w:tcPr>
          <w:p w:rsidR="00373A8C" w:rsidRDefault="00373A8C">
            <w:pPr>
              <w:jc w:val="center"/>
              <w:rPr>
                <w:rFonts w:ascii="宋体" w:hAnsi="宋体" w:cs="Arial"/>
                <w:sz w:val="20"/>
                <w:szCs w:val="20"/>
              </w:rPr>
            </w:pPr>
          </w:p>
        </w:tc>
        <w:tc>
          <w:tcPr>
            <w:tcW w:w="780" w:type="dxa"/>
            <w:vAlign w:val="center"/>
          </w:tcPr>
          <w:p w:rsidR="00373A8C" w:rsidRDefault="00373A8C">
            <w:pPr>
              <w:jc w:val="center"/>
              <w:rPr>
                <w:rFonts w:ascii="宋体" w:hAnsi="宋体"/>
              </w:rPr>
            </w:pPr>
          </w:p>
        </w:tc>
        <w:tc>
          <w:tcPr>
            <w:tcW w:w="1664" w:type="dxa"/>
            <w:tcBorders>
              <w:right w:val="single" w:sz="4" w:space="0" w:color="auto"/>
            </w:tcBorders>
            <w:vAlign w:val="center"/>
          </w:tcPr>
          <w:p w:rsidR="00373A8C" w:rsidRDefault="00373A8C">
            <w:pPr>
              <w:jc w:val="center"/>
              <w:rPr>
                <w:rFonts w:ascii="Arial" w:hAnsi="Arial" w:cs="Arial"/>
                <w:sz w:val="20"/>
                <w:szCs w:val="20"/>
              </w:rPr>
            </w:pPr>
          </w:p>
        </w:tc>
        <w:tc>
          <w:tcPr>
            <w:tcW w:w="1271" w:type="dxa"/>
            <w:tcBorders>
              <w:right w:val="single" w:sz="4" w:space="0" w:color="auto"/>
            </w:tcBorders>
          </w:tcPr>
          <w:p w:rsidR="00373A8C" w:rsidRDefault="00373A8C">
            <w:pPr>
              <w:jc w:val="center"/>
              <w:rPr>
                <w:rFonts w:ascii="宋体" w:hAnsi="宋体" w:cs="Arial"/>
                <w:sz w:val="20"/>
                <w:szCs w:val="20"/>
              </w:rPr>
            </w:pPr>
          </w:p>
        </w:tc>
        <w:tc>
          <w:tcPr>
            <w:tcW w:w="1271" w:type="dxa"/>
            <w:tcBorders>
              <w:left w:val="single" w:sz="4" w:space="0" w:color="auto"/>
            </w:tcBorders>
            <w:vAlign w:val="center"/>
          </w:tcPr>
          <w:p w:rsidR="00373A8C" w:rsidRDefault="00373A8C">
            <w:pPr>
              <w:jc w:val="center"/>
              <w:rPr>
                <w:rFonts w:ascii="宋体" w:hAnsi="宋体" w:cs="Arial"/>
                <w:sz w:val="20"/>
                <w:szCs w:val="20"/>
              </w:rPr>
            </w:pPr>
          </w:p>
        </w:tc>
        <w:tc>
          <w:tcPr>
            <w:tcW w:w="955" w:type="dxa"/>
            <w:vAlign w:val="center"/>
          </w:tcPr>
          <w:p w:rsidR="00373A8C" w:rsidRDefault="00373A8C">
            <w:pPr>
              <w:jc w:val="center"/>
              <w:rPr>
                <w:rFonts w:ascii="宋体" w:hAnsi="宋体" w:cs="宋体"/>
                <w:kern w:val="0"/>
                <w:sz w:val="24"/>
              </w:rPr>
            </w:pPr>
          </w:p>
        </w:tc>
      </w:tr>
      <w:tr w:rsidR="00373A8C" w:rsidTr="00373A8C">
        <w:trPr>
          <w:cantSplit/>
          <w:trHeight w:val="2934"/>
          <w:jc w:val="center"/>
        </w:trPr>
        <w:tc>
          <w:tcPr>
            <w:tcW w:w="1233" w:type="dxa"/>
            <w:textDirection w:val="tbRlV"/>
            <w:vAlign w:val="center"/>
          </w:tcPr>
          <w:p w:rsidR="00373A8C" w:rsidRDefault="00373A8C">
            <w:pPr>
              <w:ind w:left="113" w:right="113"/>
              <w:jc w:val="center"/>
              <w:rPr>
                <w:rFonts w:ascii="宋体" w:hAnsi="宋体" w:cs="宋体"/>
                <w:kern w:val="0"/>
                <w:sz w:val="24"/>
              </w:rPr>
            </w:pPr>
            <w:r>
              <w:rPr>
                <w:rFonts w:ascii="宋体" w:hAnsi="宋体" w:cs="宋体" w:hint="eastAsia"/>
                <w:kern w:val="0"/>
                <w:sz w:val="24"/>
              </w:rPr>
              <w:t>使用部门申请报废理由</w:t>
            </w:r>
          </w:p>
        </w:tc>
        <w:tc>
          <w:tcPr>
            <w:tcW w:w="1271" w:type="dxa"/>
          </w:tcPr>
          <w:p w:rsidR="00373A8C" w:rsidRDefault="00373A8C">
            <w:pPr>
              <w:rPr>
                <w:rFonts w:ascii="宋体" w:hAnsi="宋体" w:cs="宋体" w:hint="eastAsia"/>
                <w:kern w:val="0"/>
                <w:sz w:val="24"/>
              </w:rPr>
            </w:pPr>
          </w:p>
        </w:tc>
        <w:tc>
          <w:tcPr>
            <w:tcW w:w="8095" w:type="dxa"/>
            <w:gridSpan w:val="7"/>
          </w:tcPr>
          <w:p w:rsidR="00373A8C" w:rsidRDefault="00373A8C">
            <w:pPr>
              <w:rPr>
                <w:rFonts w:ascii="宋体" w:hAnsi="宋体" w:cs="宋体"/>
                <w:kern w:val="0"/>
                <w:sz w:val="24"/>
              </w:rPr>
            </w:pPr>
            <w:r>
              <w:rPr>
                <w:rFonts w:ascii="宋体" w:hAnsi="宋体" w:cs="宋体" w:hint="eastAsia"/>
                <w:kern w:val="0"/>
                <w:sz w:val="24"/>
              </w:rPr>
              <w:t xml:space="preserve">  </w:t>
            </w:r>
          </w:p>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ind w:firstLineChars="1800" w:firstLine="4320"/>
              <w:rPr>
                <w:rFonts w:ascii="宋体" w:hAnsi="宋体" w:cs="宋体"/>
                <w:kern w:val="0"/>
                <w:sz w:val="24"/>
              </w:rPr>
            </w:pPr>
            <w:r>
              <w:rPr>
                <w:rFonts w:ascii="宋体" w:hAnsi="宋体" w:cs="宋体" w:hint="eastAsia"/>
                <w:kern w:val="0"/>
                <w:sz w:val="24"/>
              </w:rPr>
              <w:t>负责人签字：</w:t>
            </w:r>
          </w:p>
          <w:p w:rsidR="00373A8C" w:rsidRDefault="00373A8C">
            <w:pPr>
              <w:ind w:firstLineChars="1800" w:firstLine="4320"/>
              <w:rPr>
                <w:rFonts w:ascii="宋体" w:hAnsi="宋体" w:cs="宋体"/>
                <w:kern w:val="0"/>
                <w:sz w:val="24"/>
              </w:rPr>
            </w:pPr>
            <w:r>
              <w:rPr>
                <w:rFonts w:ascii="宋体" w:hAnsi="宋体" w:cs="宋体" w:hint="eastAsia"/>
                <w:kern w:val="0"/>
                <w:sz w:val="24"/>
              </w:rPr>
              <w:t>部门盖章：</w:t>
            </w:r>
          </w:p>
        </w:tc>
      </w:tr>
      <w:tr w:rsidR="00373A8C" w:rsidTr="00373A8C">
        <w:trPr>
          <w:cantSplit/>
          <w:trHeight w:val="2952"/>
          <w:jc w:val="center"/>
        </w:trPr>
        <w:tc>
          <w:tcPr>
            <w:tcW w:w="1233" w:type="dxa"/>
            <w:textDirection w:val="tbRlV"/>
            <w:vAlign w:val="center"/>
          </w:tcPr>
          <w:p w:rsidR="00373A8C" w:rsidRDefault="00373A8C">
            <w:pPr>
              <w:ind w:left="113" w:right="113"/>
              <w:jc w:val="center"/>
              <w:rPr>
                <w:rFonts w:ascii="宋体" w:hAnsi="宋体" w:cs="宋体"/>
                <w:kern w:val="0"/>
                <w:sz w:val="24"/>
              </w:rPr>
            </w:pPr>
            <w:r>
              <w:rPr>
                <w:rFonts w:ascii="宋体" w:hAnsi="宋体" w:cs="宋体" w:hint="eastAsia"/>
                <w:kern w:val="0"/>
                <w:sz w:val="24"/>
              </w:rPr>
              <w:t>鉴定专家（二名）意见</w:t>
            </w:r>
          </w:p>
        </w:tc>
        <w:tc>
          <w:tcPr>
            <w:tcW w:w="1271" w:type="dxa"/>
          </w:tcPr>
          <w:p w:rsidR="00373A8C" w:rsidRDefault="00373A8C">
            <w:pPr>
              <w:jc w:val="left"/>
              <w:rPr>
                <w:sz w:val="24"/>
              </w:rPr>
            </w:pPr>
          </w:p>
        </w:tc>
        <w:tc>
          <w:tcPr>
            <w:tcW w:w="8095" w:type="dxa"/>
            <w:gridSpan w:val="7"/>
          </w:tcPr>
          <w:p w:rsidR="00373A8C" w:rsidRDefault="00373A8C">
            <w:pPr>
              <w:jc w:val="left"/>
              <w:rPr>
                <w:sz w:val="24"/>
              </w:rPr>
            </w:pPr>
          </w:p>
          <w:p w:rsidR="00373A8C" w:rsidRDefault="00373A8C">
            <w:pPr>
              <w:jc w:val="left"/>
              <w:rPr>
                <w:sz w:val="24"/>
              </w:rPr>
            </w:pPr>
          </w:p>
          <w:p w:rsidR="00373A8C" w:rsidRDefault="00373A8C">
            <w:pPr>
              <w:jc w:val="left"/>
              <w:rPr>
                <w:sz w:val="24"/>
              </w:rPr>
            </w:pPr>
          </w:p>
          <w:p w:rsidR="00373A8C" w:rsidRDefault="00373A8C">
            <w:pPr>
              <w:jc w:val="left"/>
              <w:rPr>
                <w:sz w:val="24"/>
              </w:rPr>
            </w:pPr>
          </w:p>
          <w:p w:rsidR="00373A8C" w:rsidRDefault="00373A8C">
            <w:pPr>
              <w:jc w:val="left"/>
              <w:rPr>
                <w:sz w:val="24"/>
              </w:rPr>
            </w:pPr>
          </w:p>
          <w:p w:rsidR="00373A8C" w:rsidRDefault="00373A8C">
            <w:pPr>
              <w:ind w:firstLineChars="100" w:firstLine="240"/>
              <w:jc w:val="left"/>
              <w:rPr>
                <w:sz w:val="24"/>
              </w:rPr>
            </w:pPr>
          </w:p>
          <w:p w:rsidR="00373A8C" w:rsidRDefault="00373A8C">
            <w:pPr>
              <w:ind w:firstLineChars="1800" w:firstLine="4320"/>
              <w:jc w:val="left"/>
              <w:rPr>
                <w:rFonts w:ascii="宋体" w:hAnsi="宋体" w:cs="宋体"/>
                <w:kern w:val="0"/>
                <w:sz w:val="24"/>
              </w:rPr>
            </w:pPr>
            <w:r>
              <w:rPr>
                <w:rFonts w:hint="eastAsia"/>
                <w:sz w:val="24"/>
              </w:rPr>
              <w:t>专家签字</w:t>
            </w:r>
            <w:r>
              <w:rPr>
                <w:rFonts w:ascii="宋体" w:hAnsi="宋体" w:cs="宋体" w:hint="eastAsia"/>
                <w:kern w:val="0"/>
                <w:sz w:val="24"/>
              </w:rPr>
              <w:t>：</w:t>
            </w:r>
          </w:p>
        </w:tc>
      </w:tr>
      <w:tr w:rsidR="00373A8C" w:rsidTr="00373A8C">
        <w:trPr>
          <w:cantSplit/>
          <w:trHeight w:val="2693"/>
          <w:jc w:val="center"/>
        </w:trPr>
        <w:tc>
          <w:tcPr>
            <w:tcW w:w="1233" w:type="dxa"/>
            <w:textDirection w:val="tbRlV"/>
            <w:vAlign w:val="center"/>
          </w:tcPr>
          <w:p w:rsidR="00373A8C" w:rsidRDefault="00373A8C">
            <w:pPr>
              <w:ind w:left="113" w:right="113"/>
              <w:jc w:val="center"/>
              <w:rPr>
                <w:rFonts w:ascii="宋体" w:hAnsi="宋体" w:cs="宋体"/>
                <w:kern w:val="0"/>
                <w:sz w:val="24"/>
                <w:highlight w:val="yellow"/>
              </w:rPr>
            </w:pPr>
            <w:r>
              <w:rPr>
                <w:rFonts w:ascii="宋体" w:hAnsi="宋体" w:cs="宋体" w:hint="eastAsia"/>
                <w:kern w:val="0"/>
                <w:sz w:val="24"/>
              </w:rPr>
              <w:t>财务与资产管理处意见</w:t>
            </w:r>
          </w:p>
        </w:tc>
        <w:tc>
          <w:tcPr>
            <w:tcW w:w="1271" w:type="dxa"/>
          </w:tcPr>
          <w:p w:rsidR="00373A8C" w:rsidRDefault="00373A8C">
            <w:pPr>
              <w:rPr>
                <w:rFonts w:ascii="宋体" w:hAnsi="宋体" w:cs="宋体"/>
                <w:kern w:val="0"/>
                <w:sz w:val="24"/>
              </w:rPr>
            </w:pPr>
          </w:p>
        </w:tc>
        <w:tc>
          <w:tcPr>
            <w:tcW w:w="8095" w:type="dxa"/>
            <w:gridSpan w:val="7"/>
          </w:tcPr>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rPr>
                <w:rFonts w:ascii="宋体" w:hAnsi="宋体" w:cs="宋体"/>
                <w:kern w:val="0"/>
                <w:sz w:val="24"/>
              </w:rPr>
            </w:pPr>
          </w:p>
          <w:p w:rsidR="00373A8C" w:rsidRDefault="00373A8C">
            <w:pPr>
              <w:ind w:firstLineChars="1800" w:firstLine="4320"/>
              <w:rPr>
                <w:rFonts w:ascii="宋体" w:hAnsi="宋体" w:cs="宋体"/>
                <w:kern w:val="0"/>
                <w:sz w:val="24"/>
              </w:rPr>
            </w:pPr>
            <w:r>
              <w:rPr>
                <w:rFonts w:ascii="宋体" w:hAnsi="宋体" w:cs="宋体" w:hint="eastAsia"/>
                <w:kern w:val="0"/>
                <w:sz w:val="24"/>
              </w:rPr>
              <w:t>负责人签字：</w:t>
            </w:r>
          </w:p>
          <w:p w:rsidR="00373A8C" w:rsidRDefault="00373A8C">
            <w:pPr>
              <w:ind w:firstLineChars="1800" w:firstLine="4320"/>
              <w:rPr>
                <w:rFonts w:ascii="宋体" w:hAnsi="宋体" w:cs="宋体"/>
                <w:kern w:val="0"/>
                <w:sz w:val="24"/>
              </w:rPr>
            </w:pPr>
            <w:r>
              <w:rPr>
                <w:rFonts w:ascii="宋体" w:hAnsi="宋体" w:cs="宋体" w:hint="eastAsia"/>
                <w:kern w:val="0"/>
                <w:sz w:val="24"/>
              </w:rPr>
              <w:t>部门盖章：</w:t>
            </w:r>
          </w:p>
        </w:tc>
      </w:tr>
    </w:tbl>
    <w:p w:rsidR="00D110B2" w:rsidRDefault="00830BE0">
      <w:pPr>
        <w:widowControl/>
        <w:ind w:left="60"/>
        <w:jc w:val="left"/>
        <w:rPr>
          <w:rFonts w:ascii="宋体" w:hAnsi="宋体" w:cs="宋体"/>
          <w:color w:val="000000"/>
          <w:sz w:val="24"/>
        </w:rPr>
      </w:pPr>
      <w:r>
        <w:rPr>
          <w:rFonts w:ascii="宋体" w:hAnsi="宋体" w:cs="宋体" w:hint="eastAsia"/>
          <w:color w:val="000000"/>
          <w:kern w:val="0"/>
          <w:sz w:val="24"/>
          <w:lang w:bidi="ar"/>
        </w:rPr>
        <w:t>备注：1、专用设备、通用设备、无形资产技术鉴定由实训中心专家出具；2、办公家具、生活电器类由后勤服务中心专家出具。3、房屋及构筑物、特种设备由专门机构出具。</w:t>
      </w:r>
    </w:p>
    <w:p w:rsidR="00D110B2" w:rsidRDefault="00D110B2">
      <w:pPr>
        <w:sectPr w:rsidR="00D110B2">
          <w:footerReference w:type="default" r:id="rId37"/>
          <w:pgSz w:w="11906" w:h="16838"/>
          <w:pgMar w:top="1440" w:right="1800" w:bottom="1440" w:left="1800" w:header="851" w:footer="992" w:gutter="0"/>
          <w:pgNumType w:start="1"/>
          <w:cols w:space="425"/>
          <w:docGrid w:type="lines" w:linePitch="312"/>
        </w:sectPr>
      </w:pPr>
    </w:p>
    <w:tbl>
      <w:tblPr>
        <w:tblpPr w:leftFromText="180" w:rightFromText="180" w:vertAnchor="text" w:horzAnchor="page" w:tblpXSpec="center" w:tblpY="512"/>
        <w:tblOverlap w:val="never"/>
        <w:tblW w:w="14025" w:type="dxa"/>
        <w:jc w:val="center"/>
        <w:tblLayout w:type="fixed"/>
        <w:tblCellMar>
          <w:left w:w="0" w:type="dxa"/>
          <w:right w:w="0" w:type="dxa"/>
        </w:tblCellMar>
        <w:tblLook w:val="04A0" w:firstRow="1" w:lastRow="0" w:firstColumn="1" w:lastColumn="0" w:noHBand="0" w:noVBand="1"/>
      </w:tblPr>
      <w:tblGrid>
        <w:gridCol w:w="883"/>
        <w:gridCol w:w="1050"/>
        <w:gridCol w:w="1275"/>
        <w:gridCol w:w="1305"/>
        <w:gridCol w:w="1320"/>
        <w:gridCol w:w="1125"/>
        <w:gridCol w:w="1170"/>
        <w:gridCol w:w="1035"/>
        <w:gridCol w:w="1095"/>
        <w:gridCol w:w="1095"/>
        <w:gridCol w:w="1215"/>
        <w:gridCol w:w="1457"/>
      </w:tblGrid>
      <w:tr w:rsidR="00D110B2" w:rsidTr="00EC6A8A">
        <w:trPr>
          <w:trHeight w:val="640"/>
          <w:jc w:val="center"/>
        </w:trPr>
        <w:tc>
          <w:tcPr>
            <w:tcW w:w="14025" w:type="dxa"/>
            <w:gridSpan w:val="12"/>
            <w:tcBorders>
              <w:top w:val="nil"/>
              <w:left w:val="nil"/>
              <w:bottom w:val="nil"/>
              <w:right w:val="nil"/>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b/>
                <w:color w:val="000000"/>
                <w:sz w:val="36"/>
                <w:szCs w:val="36"/>
              </w:rPr>
            </w:pPr>
            <w:r>
              <w:rPr>
                <w:rFonts w:ascii="宋体" w:hAnsi="宋体" w:cs="宋体" w:hint="eastAsia"/>
                <w:b/>
                <w:color w:val="000000"/>
                <w:kern w:val="0"/>
                <w:sz w:val="36"/>
                <w:szCs w:val="36"/>
                <w:lang w:bidi="ar"/>
              </w:rPr>
              <w:lastRenderedPageBreak/>
              <w:t>湖南省省属高校国有资产处置明细清单</w:t>
            </w:r>
          </w:p>
        </w:tc>
      </w:tr>
      <w:tr w:rsidR="00D110B2" w:rsidTr="00EC6A8A">
        <w:trPr>
          <w:trHeight w:val="285"/>
          <w:jc w:val="center"/>
        </w:trPr>
        <w:tc>
          <w:tcPr>
            <w:tcW w:w="14025" w:type="dxa"/>
            <w:gridSpan w:val="12"/>
            <w:tcBorders>
              <w:top w:val="nil"/>
              <w:left w:val="nil"/>
              <w:bottom w:val="nil"/>
              <w:right w:val="nil"/>
            </w:tcBorders>
            <w:shd w:val="clear" w:color="auto" w:fill="auto"/>
            <w:noWrap/>
            <w:tcMar>
              <w:top w:w="15" w:type="dxa"/>
              <w:left w:w="15" w:type="dxa"/>
              <w:right w:w="15" w:type="dxa"/>
            </w:tcMar>
            <w:vAlign w:val="center"/>
          </w:tcPr>
          <w:p w:rsidR="00D110B2" w:rsidRDefault="00830BE0">
            <w:pPr>
              <w:widowControl/>
              <w:jc w:val="left"/>
              <w:textAlignment w:val="center"/>
              <w:rPr>
                <w:rFonts w:ascii="宋体" w:hAnsi="宋体" w:cs="宋体"/>
                <w:color w:val="000000"/>
                <w:sz w:val="24"/>
              </w:rPr>
            </w:pPr>
            <w:r>
              <w:rPr>
                <w:rFonts w:ascii="宋体" w:hAnsi="宋体" w:cs="宋体" w:hint="eastAsia"/>
                <w:color w:val="000000"/>
                <w:kern w:val="0"/>
                <w:sz w:val="24"/>
                <w:lang w:bidi="ar"/>
              </w:rPr>
              <w:t>处置类别： 报废                                 经办人及电话：                          单位：元</w:t>
            </w:r>
          </w:p>
        </w:tc>
      </w:tr>
      <w:tr w:rsidR="00D110B2" w:rsidTr="00EC6A8A">
        <w:trPr>
          <w:trHeight w:val="300"/>
          <w:jc w:val="center"/>
        </w:trPr>
        <w:tc>
          <w:tcPr>
            <w:tcW w:w="88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资产编号</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资产名称</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分类号</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分类名称</w:t>
            </w:r>
          </w:p>
        </w:tc>
        <w:tc>
          <w:tcPr>
            <w:tcW w:w="333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价值</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D110B2" w:rsidRDefault="00830BE0">
            <w:pPr>
              <w:widowControl/>
              <w:jc w:val="center"/>
              <w:textAlignment w:val="center"/>
              <w:rPr>
                <w:rFonts w:ascii="宋体" w:hAnsi="宋体" w:cs="宋体"/>
                <w:color w:val="FF0000"/>
                <w:sz w:val="22"/>
                <w:szCs w:val="22"/>
              </w:rPr>
            </w:pPr>
            <w:r>
              <w:rPr>
                <w:rFonts w:ascii="宋体" w:hAnsi="宋体" w:cs="宋体" w:hint="eastAsia"/>
                <w:color w:val="FF0000"/>
                <w:kern w:val="0"/>
                <w:sz w:val="22"/>
                <w:szCs w:val="22"/>
                <w:lang w:bidi="ar"/>
              </w:rPr>
              <w:t>可使用年限</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入账日期</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FF0000"/>
                <w:sz w:val="22"/>
                <w:szCs w:val="22"/>
              </w:rPr>
            </w:pPr>
            <w:r>
              <w:rPr>
                <w:rFonts w:ascii="宋体" w:hAnsi="宋体" w:cs="宋体" w:hint="eastAsia"/>
                <w:color w:val="FF0000"/>
                <w:kern w:val="0"/>
                <w:sz w:val="22"/>
                <w:szCs w:val="22"/>
                <w:lang w:bidi="ar"/>
              </w:rPr>
              <w:t>处置日期</w:t>
            </w:r>
          </w:p>
        </w:tc>
        <w:tc>
          <w:tcPr>
            <w:tcW w:w="1457"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备注</w:t>
            </w:r>
          </w:p>
        </w:tc>
      </w:tr>
      <w:tr w:rsidR="00D110B2" w:rsidTr="00EC6A8A">
        <w:trPr>
          <w:trHeight w:val="300"/>
          <w:jc w:val="center"/>
        </w:trPr>
        <w:tc>
          <w:tcPr>
            <w:tcW w:w="883"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账面原值</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FF0000"/>
                <w:sz w:val="22"/>
                <w:szCs w:val="22"/>
              </w:rPr>
            </w:pPr>
            <w:r>
              <w:rPr>
                <w:rFonts w:ascii="宋体" w:hAnsi="宋体" w:cs="宋体" w:hint="eastAsia"/>
                <w:color w:val="FF0000"/>
                <w:kern w:val="0"/>
                <w:sz w:val="22"/>
                <w:szCs w:val="22"/>
                <w:lang w:bidi="ar"/>
              </w:rPr>
              <w:t>账面净值</w:t>
            </w: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FF0000"/>
                <w:sz w:val="22"/>
                <w:szCs w:val="22"/>
              </w:rPr>
            </w:pPr>
            <w:r>
              <w:rPr>
                <w:rFonts w:ascii="宋体" w:hAnsi="宋体" w:cs="宋体" w:hint="eastAsia"/>
                <w:color w:val="FF0000"/>
                <w:kern w:val="0"/>
                <w:sz w:val="22"/>
                <w:szCs w:val="22"/>
                <w:lang w:bidi="ar"/>
              </w:rPr>
              <w:t>评估价值</w:t>
            </w: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D110B2" w:rsidRDefault="00D110B2">
            <w:pPr>
              <w:jc w:val="center"/>
              <w:rPr>
                <w:rFonts w:ascii="宋体" w:hAnsi="宋体" w:cs="宋体"/>
                <w:color w:val="FF0000"/>
                <w:sz w:val="22"/>
                <w:szCs w:val="22"/>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FF0000"/>
                <w:sz w:val="22"/>
                <w:szCs w:val="22"/>
              </w:rPr>
            </w:pPr>
          </w:p>
        </w:tc>
        <w:tc>
          <w:tcPr>
            <w:tcW w:w="1457"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420"/>
          <w:jc w:val="center"/>
        </w:trPr>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830BE0">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小计</w:t>
            </w:r>
          </w:p>
        </w:tc>
        <w:tc>
          <w:tcPr>
            <w:tcW w:w="10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21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D110B2" w:rsidRDefault="00D110B2">
            <w:pPr>
              <w:jc w:val="center"/>
              <w:rPr>
                <w:rFonts w:ascii="宋体" w:hAnsi="宋体" w:cs="宋体"/>
                <w:color w:val="000000"/>
                <w:sz w:val="22"/>
                <w:szCs w:val="22"/>
              </w:rPr>
            </w:pPr>
          </w:p>
        </w:tc>
      </w:tr>
      <w:tr w:rsidR="00D110B2" w:rsidTr="00EC6A8A">
        <w:trPr>
          <w:trHeight w:val="270"/>
          <w:jc w:val="center"/>
        </w:trPr>
        <w:tc>
          <w:tcPr>
            <w:tcW w:w="5833" w:type="dxa"/>
            <w:gridSpan w:val="5"/>
            <w:tcBorders>
              <w:top w:val="nil"/>
              <w:left w:val="nil"/>
              <w:bottom w:val="nil"/>
              <w:right w:val="nil"/>
            </w:tcBorders>
            <w:shd w:val="clear" w:color="auto" w:fill="auto"/>
            <w:noWrap/>
            <w:tcMar>
              <w:top w:w="15" w:type="dxa"/>
              <w:left w:w="15" w:type="dxa"/>
              <w:right w:w="15" w:type="dxa"/>
            </w:tcMar>
            <w:vAlign w:val="center"/>
          </w:tcPr>
          <w:p w:rsidR="00D110B2" w:rsidRDefault="00830BE0">
            <w:pPr>
              <w:rPr>
                <w:rFonts w:ascii="宋体" w:hAnsi="宋体" w:cs="宋体"/>
                <w:bCs/>
                <w:color w:val="000000"/>
                <w:sz w:val="22"/>
                <w:szCs w:val="22"/>
              </w:rPr>
            </w:pPr>
            <w:r>
              <w:rPr>
                <w:rFonts w:ascii="宋体" w:hAnsi="宋体" w:cs="宋体" w:hint="eastAsia"/>
                <w:bCs/>
                <w:color w:val="FF0000"/>
                <w:kern w:val="0"/>
                <w:sz w:val="22"/>
                <w:szCs w:val="22"/>
                <w:lang w:bidi="ar"/>
              </w:rPr>
              <w:t>注：除标红的以外其他栏目都要填完整。</w:t>
            </w:r>
          </w:p>
        </w:tc>
        <w:tc>
          <w:tcPr>
            <w:tcW w:w="1125"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170"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035"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095"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095"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215"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c>
          <w:tcPr>
            <w:tcW w:w="1457" w:type="dxa"/>
            <w:tcBorders>
              <w:top w:val="nil"/>
              <w:left w:val="nil"/>
              <w:bottom w:val="nil"/>
              <w:right w:val="nil"/>
            </w:tcBorders>
            <w:shd w:val="clear" w:color="auto" w:fill="auto"/>
            <w:noWrap/>
            <w:tcMar>
              <w:top w:w="15" w:type="dxa"/>
              <w:left w:w="15" w:type="dxa"/>
              <w:right w:w="15" w:type="dxa"/>
            </w:tcMar>
            <w:vAlign w:val="center"/>
          </w:tcPr>
          <w:p w:rsidR="00D110B2" w:rsidRDefault="00D110B2">
            <w:pPr>
              <w:rPr>
                <w:rFonts w:ascii="宋体" w:hAnsi="宋体" w:cs="宋体"/>
                <w:bCs/>
                <w:color w:val="000000"/>
                <w:sz w:val="22"/>
                <w:szCs w:val="22"/>
              </w:rPr>
            </w:pPr>
          </w:p>
        </w:tc>
      </w:tr>
    </w:tbl>
    <w:p w:rsidR="00D110B2" w:rsidRDefault="00D110B2"/>
    <w:sectPr w:rsidR="00D110B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ACB" w:rsidRDefault="005D1ACB">
      <w:r>
        <w:separator/>
      </w:r>
    </w:p>
  </w:endnote>
  <w:endnote w:type="continuationSeparator" w:id="0">
    <w:p w:rsidR="005D1ACB" w:rsidRDefault="005D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B2" w:rsidRDefault="00830BE0">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110B2" w:rsidRDefault="00830BE0">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73A8C">
                            <w:rPr>
                              <w:noProof/>
                            </w:rPr>
                            <w:t>9</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ctfVYgIAAAwFAAAOAAAAAAAAAAAAAAAAAC4CAABkcnMvZTJvRG9jLnht&#10;bFBLAQItABQABgAIAAAAIQBxqtG51wAAAAUBAAAPAAAAAAAAAAAAAAAAALwEAABkcnMvZG93bnJl&#10;di54bWxQSwUGAAAAAAQABADzAAAAwAUAAAAA&#10;" filled="f" stroked="f" strokeweight=".5pt">
              <v:textbox style="mso-fit-shape-to-text:t" inset="0,0,0,0">
                <w:txbxContent>
                  <w:p w:rsidR="00D110B2" w:rsidRDefault="00830BE0">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373A8C">
                      <w:rPr>
                        <w:noProof/>
                      </w:rPr>
                      <w:t>9</w:t>
                    </w:r>
                    <w:r>
                      <w:rPr>
                        <w:rFonts w:hint="eastAsia"/>
                      </w:rPr>
                      <w:fldChar w:fldCharType="end"/>
                    </w:r>
                    <w:r>
                      <w:rPr>
                        <w:rFonts w:hint="eastAsia"/>
                      </w:rPr>
                      <w:t xml:space="preserve"> </w:t>
                    </w:r>
                    <w:r>
                      <w:rPr>
                        <w:rFonts w:hint="eastAsia"/>
                      </w:rPr>
                      <w:t>页</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110B2" w:rsidRDefault="00D110B2">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3" o:spid="_x0000_s1027"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dBs+xkAgAAEwUAAA4AAAAAAAAAAAAAAAAALgIAAGRycy9lMm9Eb2Mu&#10;eG1sUEsBAi0AFAAGAAgAAAAhAHGq0bnXAAAABQEAAA8AAAAAAAAAAAAAAAAAvgQAAGRycy9kb3du&#10;cmV2LnhtbFBLBQYAAAAABAAEAPMAAADCBQAAAAA=&#10;" filled="f" stroked="f" strokeweight=".5pt">
              <v:textbox style="mso-fit-shape-to-text:t" inset="0,0,0,0">
                <w:txbxContent>
                  <w:p w:rsidR="00D110B2" w:rsidRDefault="00D110B2">
                    <w:pPr>
                      <w:pStyle w:val="a3"/>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ACB" w:rsidRDefault="005D1ACB">
      <w:r>
        <w:separator/>
      </w:r>
    </w:p>
  </w:footnote>
  <w:footnote w:type="continuationSeparator" w:id="0">
    <w:p w:rsidR="005D1ACB" w:rsidRDefault="005D1A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32A4D"/>
    <w:multiLevelType w:val="singleLevel"/>
    <w:tmpl w:val="3D532A4D"/>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B2"/>
    <w:rsid w:val="000010B3"/>
    <w:rsid w:val="000C1644"/>
    <w:rsid w:val="000C2D38"/>
    <w:rsid w:val="001F148E"/>
    <w:rsid w:val="00373A8C"/>
    <w:rsid w:val="00501D5A"/>
    <w:rsid w:val="005D1ACB"/>
    <w:rsid w:val="00646B2B"/>
    <w:rsid w:val="006D65FE"/>
    <w:rsid w:val="00830BE0"/>
    <w:rsid w:val="00942F99"/>
    <w:rsid w:val="00CD52E9"/>
    <w:rsid w:val="00D110B2"/>
    <w:rsid w:val="00E057B7"/>
    <w:rsid w:val="00EC6A8A"/>
    <w:rsid w:val="04E66356"/>
    <w:rsid w:val="08570C94"/>
    <w:rsid w:val="0D465634"/>
    <w:rsid w:val="0E1C54DD"/>
    <w:rsid w:val="0EDF225D"/>
    <w:rsid w:val="1451540C"/>
    <w:rsid w:val="149F271A"/>
    <w:rsid w:val="160B1DC6"/>
    <w:rsid w:val="17E56B4E"/>
    <w:rsid w:val="17F24359"/>
    <w:rsid w:val="1CC94D78"/>
    <w:rsid w:val="1F1F7501"/>
    <w:rsid w:val="291B59D7"/>
    <w:rsid w:val="32613052"/>
    <w:rsid w:val="3A6D7105"/>
    <w:rsid w:val="3AA23A1B"/>
    <w:rsid w:val="3B7A0B3C"/>
    <w:rsid w:val="3D272126"/>
    <w:rsid w:val="3F6515E0"/>
    <w:rsid w:val="40DC1947"/>
    <w:rsid w:val="44746BF9"/>
    <w:rsid w:val="483D6460"/>
    <w:rsid w:val="49411F0D"/>
    <w:rsid w:val="497712DD"/>
    <w:rsid w:val="4B983E1C"/>
    <w:rsid w:val="50BB3284"/>
    <w:rsid w:val="53BE6C20"/>
    <w:rsid w:val="53DB0F38"/>
    <w:rsid w:val="54C63BCF"/>
    <w:rsid w:val="56BD136D"/>
    <w:rsid w:val="598B7D1F"/>
    <w:rsid w:val="5EE02DF5"/>
    <w:rsid w:val="63132501"/>
    <w:rsid w:val="63ED27A1"/>
    <w:rsid w:val="6A612E7D"/>
    <w:rsid w:val="6C6E2D87"/>
    <w:rsid w:val="6EBE21E8"/>
    <w:rsid w:val="6F445C29"/>
    <w:rsid w:val="7D516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8B222C-F99F-40F3-8E01-771E735A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style>
  <w:style w:type="character" w:styleId="a5">
    <w:name w:val="Strong"/>
    <w:qFormat/>
    <w:rPr>
      <w:b/>
      <w:bCs/>
    </w:rPr>
  </w:style>
  <w:style w:type="character" w:styleId="a6">
    <w:name w:val="Hyperlink"/>
    <w:rPr>
      <w:color w:val="0000FF"/>
      <w:u w:val="single"/>
    </w:r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黄建林</cp:lastModifiedBy>
  <cp:revision>5</cp:revision>
  <dcterms:created xsi:type="dcterms:W3CDTF">2021-09-03T07:40:00Z</dcterms:created>
  <dcterms:modified xsi:type="dcterms:W3CDTF">2022-04-06T00:28:00Z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