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olor w:val="000000" w:themeColor="text1"/>
          <w:szCs w:val="21"/>
          <w14:textFill>
            <w14:solidFill>
              <w14:schemeClr w14:val="tx1"/>
            </w14:solidFill>
          </w14:textFill>
        </w:rPr>
      </w:pPr>
      <w:r>
        <w:rPr>
          <w:rFonts w:hint="eastAsia" w:ascii="方正小标宋简体" w:hAnsi="宋体" w:eastAsia="方正小标宋简体"/>
          <w:color w:val="000000" w:themeColor="text1"/>
          <w:sz w:val="36"/>
          <w:szCs w:val="36"/>
          <w14:textFill>
            <w14:solidFill>
              <w14:schemeClr w14:val="tx1"/>
            </w14:solidFill>
          </w14:textFill>
        </w:rPr>
        <w:t>202</w:t>
      </w:r>
      <w:r>
        <w:rPr>
          <w:rFonts w:ascii="方正小标宋简体" w:hAnsi="宋体" w:eastAsia="方正小标宋简体"/>
          <w:color w:val="000000" w:themeColor="text1"/>
          <w:sz w:val="36"/>
          <w:szCs w:val="36"/>
          <w14:textFill>
            <w14:solidFill>
              <w14:schemeClr w14:val="tx1"/>
            </w14:solidFill>
          </w14:textFill>
        </w:rPr>
        <w:t>1</w:t>
      </w:r>
      <w:r>
        <w:rPr>
          <w:rFonts w:hint="eastAsia" w:ascii="方正小标宋简体" w:hAnsi="宋体" w:eastAsia="方正小标宋简体"/>
          <w:color w:val="000000" w:themeColor="text1"/>
          <w:sz w:val="36"/>
          <w:szCs w:val="36"/>
          <w14:textFill>
            <w14:solidFill>
              <w14:schemeClr w14:val="tx1"/>
            </w14:solidFill>
          </w14:textFill>
        </w:rPr>
        <w:t>年度职称评审教学测评细则</w:t>
      </w:r>
    </w:p>
    <w:p>
      <w:pPr>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姓名：</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陈璐</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申报专业技术职务：</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讲师</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申报分支专业：</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外国语言文学</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填报日期：</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2021年12月14日</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p>
    <w:p>
      <w:pPr>
        <w:spacing w:line="240" w:lineRule="exact"/>
        <w:rPr>
          <w:rFonts w:ascii="宋体" w:hAnsi="宋体"/>
          <w:color w:val="000000" w:themeColor="text1"/>
          <w:sz w:val="24"/>
          <w14:textFill>
            <w14:solidFill>
              <w14:schemeClr w14:val="tx1"/>
            </w14:solidFill>
          </w14:textFill>
        </w:rPr>
      </w:pPr>
    </w:p>
    <w:tbl>
      <w:tblPr>
        <w:tblStyle w:val="5"/>
        <w:tblW w:w="22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1276"/>
        <w:gridCol w:w="731"/>
        <w:gridCol w:w="3522"/>
        <w:gridCol w:w="4394"/>
        <w:gridCol w:w="5439"/>
        <w:gridCol w:w="2292"/>
        <w:gridCol w:w="1226"/>
        <w:gridCol w:w="74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534" w:type="dxa"/>
            <w:vAlign w:val="center"/>
          </w:tcPr>
          <w:p>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序号</w:t>
            </w:r>
          </w:p>
        </w:tc>
        <w:tc>
          <w:tcPr>
            <w:tcW w:w="1275" w:type="dxa"/>
            <w:vAlign w:val="center"/>
          </w:tcPr>
          <w:p>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评价项目</w:t>
            </w:r>
          </w:p>
          <w:p>
            <w:pP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(一级指标)</w:t>
            </w:r>
          </w:p>
        </w:tc>
        <w:tc>
          <w:tcPr>
            <w:tcW w:w="1276" w:type="dxa"/>
            <w:vAlign w:val="center"/>
          </w:tcPr>
          <w:p>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评价内容</w:t>
            </w:r>
          </w:p>
          <w:p>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(二级指标)</w:t>
            </w:r>
          </w:p>
        </w:tc>
        <w:tc>
          <w:tcPr>
            <w:tcW w:w="731" w:type="dxa"/>
            <w:vAlign w:val="center"/>
          </w:tcPr>
          <w:p>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分数</w:t>
            </w:r>
          </w:p>
        </w:tc>
        <w:tc>
          <w:tcPr>
            <w:tcW w:w="3522" w:type="dxa"/>
            <w:vAlign w:val="center"/>
          </w:tcPr>
          <w:p>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评分标准</w:t>
            </w:r>
          </w:p>
        </w:tc>
        <w:tc>
          <w:tcPr>
            <w:tcW w:w="4394" w:type="dxa"/>
            <w:vAlign w:val="center"/>
          </w:tcPr>
          <w:p>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备注</w:t>
            </w:r>
          </w:p>
        </w:tc>
        <w:tc>
          <w:tcPr>
            <w:tcW w:w="5439" w:type="dxa"/>
            <w:vAlign w:val="center"/>
          </w:tcPr>
          <w:p>
            <w:pPr>
              <w:jc w:val="center"/>
              <w:rPr>
                <w:rFonts w:ascii="宋体" w:hAnsi="宋体"/>
                <w:b/>
                <w:color w:val="000000" w:themeColor="text1"/>
                <w:spacing w:val="-10"/>
                <w:szCs w:val="21"/>
                <w14:textFill>
                  <w14:solidFill>
                    <w14:schemeClr w14:val="tx1"/>
                  </w14:solidFill>
                </w14:textFill>
              </w:rPr>
            </w:pPr>
            <w:r>
              <w:rPr>
                <w:rFonts w:hint="eastAsia" w:ascii="宋体" w:hAnsi="宋体"/>
                <w:b/>
                <w:szCs w:val="21"/>
              </w:rPr>
              <w:t>加分项目纪录</w:t>
            </w:r>
          </w:p>
        </w:tc>
        <w:tc>
          <w:tcPr>
            <w:tcW w:w="2292" w:type="dxa"/>
            <w:vAlign w:val="center"/>
          </w:tcPr>
          <w:p>
            <w:pPr>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佐证材料</w:t>
            </w:r>
          </w:p>
          <w:p>
            <w:pPr>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页码</w:t>
            </w:r>
          </w:p>
        </w:tc>
        <w:tc>
          <w:tcPr>
            <w:tcW w:w="1226" w:type="dxa"/>
            <w:vAlign w:val="center"/>
          </w:tcPr>
          <w:p>
            <w:pPr>
              <w:jc w:val="center"/>
              <w:rPr>
                <w:rFonts w:ascii="宋体" w:hAnsi="宋体"/>
                <w:b/>
                <w:color w:val="000000" w:themeColor="text1"/>
                <w:sz w:val="18"/>
                <w:szCs w:val="18"/>
                <w14:textFill>
                  <w14:solidFill>
                    <w14:schemeClr w14:val="tx1"/>
                  </w14:solidFill>
                </w14:textFill>
              </w:rPr>
            </w:pPr>
            <w:r>
              <w:rPr>
                <w:rFonts w:hint="eastAsia" w:ascii="宋体" w:hAnsi="宋体"/>
                <w:b/>
                <w:color w:val="000000" w:themeColor="text1"/>
                <w:spacing w:val="-10"/>
                <w:sz w:val="18"/>
                <w:szCs w:val="18"/>
                <w14:textFill>
                  <w14:solidFill>
                    <w14:schemeClr w14:val="tx1"/>
                  </w14:solidFill>
                </w14:textFill>
              </w:rPr>
              <w:t>分项自评分</w:t>
            </w:r>
          </w:p>
        </w:tc>
        <w:tc>
          <w:tcPr>
            <w:tcW w:w="746" w:type="dxa"/>
            <w:vAlign w:val="center"/>
          </w:tcPr>
          <w:p>
            <w:pPr>
              <w:jc w:val="center"/>
              <w:rPr>
                <w:rFonts w:ascii="宋体" w:hAnsi="宋体"/>
                <w:b/>
                <w:szCs w:val="21"/>
              </w:rPr>
            </w:pPr>
            <w:r>
              <w:rPr>
                <w:rFonts w:hint="eastAsia" w:ascii="宋体" w:hAnsi="宋体"/>
                <w:b/>
                <w:szCs w:val="21"/>
              </w:rPr>
              <w:t>总自评分</w:t>
            </w:r>
          </w:p>
        </w:tc>
        <w:tc>
          <w:tcPr>
            <w:tcW w:w="815" w:type="dxa"/>
            <w:vAlign w:val="center"/>
          </w:tcPr>
          <w:p>
            <w:pPr>
              <w:jc w:val="center"/>
              <w:rPr>
                <w:rFonts w:ascii="宋体" w:hAnsi="宋体"/>
                <w:b/>
                <w:szCs w:val="21"/>
              </w:rPr>
            </w:pPr>
            <w:r>
              <w:rPr>
                <w:rFonts w:hint="eastAsia" w:ascii="宋体" w:hAnsi="宋体"/>
                <w:b/>
                <w:szCs w:val="21"/>
              </w:rPr>
              <w:t>评委</w:t>
            </w:r>
          </w:p>
          <w:p>
            <w:pPr>
              <w:jc w:val="center"/>
              <w:rPr>
                <w:rFonts w:ascii="宋体" w:hAnsi="宋体"/>
                <w:b/>
                <w:szCs w:val="21"/>
              </w:rPr>
            </w:pPr>
            <w:r>
              <w:rPr>
                <w:rFonts w:hint="eastAsia" w:ascii="宋体" w:hAnsi="宋体"/>
                <w:b/>
                <w:szCs w:val="21"/>
              </w:rPr>
              <w:t>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jc w:val="center"/>
        </w:trPr>
        <w:tc>
          <w:tcPr>
            <w:tcW w:w="534" w:type="dxa"/>
            <w:vMerge w:val="restart"/>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w:t>
            </w:r>
          </w:p>
        </w:tc>
        <w:tc>
          <w:tcPr>
            <w:tcW w:w="1275" w:type="dxa"/>
            <w:vMerge w:val="restart"/>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教学能力及承担课程讲授情况</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（15分）</w:t>
            </w:r>
          </w:p>
        </w:tc>
        <w:tc>
          <w:tcPr>
            <w:tcW w:w="1276"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承担课程</w:t>
            </w:r>
          </w:p>
        </w:tc>
        <w:tc>
          <w:tcPr>
            <w:tcW w:w="731"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5</w:t>
            </w:r>
          </w:p>
        </w:tc>
        <w:tc>
          <w:tcPr>
            <w:tcW w:w="3522"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二级学院老师任期内承担1门课程教学任务计4分，2门及以上计5分。（其它部门完成1门及以上计5分）</w:t>
            </w:r>
          </w:p>
        </w:tc>
        <w:tc>
          <w:tcPr>
            <w:tcW w:w="4394" w:type="dxa"/>
            <w:vMerge w:val="restart"/>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（1）任期内承担的课程以教务处认可的材料为准。</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（2）提供1门任期内任教的本专业课程的原始教案。考察了解教师在授课内容、方法、技能等方面掌握程度，对教案评审出优、良、合格、不合格四等。</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（3）双师素质教师是指具有讲师（或以上）教师职称，又具备下列条件之一的专任教师：</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fldChar w:fldCharType="begin"/>
            </w:r>
            <w:r>
              <w:rPr>
                <w:rFonts w:hint="eastAsia" w:ascii="仿宋_GB2312" w:hAnsi="宋体" w:eastAsia="仿宋_GB2312"/>
                <w:color w:val="000000" w:themeColor="text1"/>
                <w:sz w:val="20"/>
                <w:szCs w:val="20"/>
                <w14:textFill>
                  <w14:solidFill>
                    <w14:schemeClr w14:val="tx1"/>
                  </w14:solidFill>
                </w14:textFill>
              </w:rPr>
              <w:instrText xml:space="preserve"> = 1 \* GB3 </w:instrText>
            </w:r>
            <w:r>
              <w:rPr>
                <w:rFonts w:hint="eastAsia" w:ascii="仿宋_GB2312" w:hAnsi="宋体" w:eastAsia="仿宋_GB2312"/>
                <w:color w:val="000000" w:themeColor="text1"/>
                <w:sz w:val="20"/>
                <w:szCs w:val="20"/>
                <w14:textFill>
                  <w14:solidFill>
                    <w14:schemeClr w14:val="tx1"/>
                  </w14:solidFill>
                </w14:textFill>
              </w:rPr>
              <w:fldChar w:fldCharType="separate"/>
            </w:r>
            <w:r>
              <w:rPr>
                <w:rFonts w:hint="eastAsia" w:ascii="仿宋_GB2312" w:hAnsi="宋体" w:eastAsia="仿宋_GB2312"/>
                <w:color w:val="000000" w:themeColor="text1"/>
                <w:sz w:val="20"/>
                <w:szCs w:val="20"/>
                <w14:textFill>
                  <w14:solidFill>
                    <w14:schemeClr w14:val="tx1"/>
                  </w14:solidFill>
                </w14:textFill>
              </w:rPr>
              <w:t>①</w:t>
            </w:r>
            <w:r>
              <w:rPr>
                <w:rFonts w:hint="eastAsia" w:ascii="仿宋_GB2312" w:hAnsi="宋体" w:eastAsia="仿宋_GB2312"/>
                <w:color w:val="000000" w:themeColor="text1"/>
                <w:sz w:val="20"/>
                <w:szCs w:val="20"/>
                <w14:textFill>
                  <w14:solidFill>
                    <w14:schemeClr w14:val="tx1"/>
                  </w14:solidFill>
                </w14:textFill>
              </w:rPr>
              <w:fldChar w:fldCharType="end"/>
            </w:r>
            <w:r>
              <w:rPr>
                <w:rFonts w:hint="eastAsia" w:ascii="仿宋_GB2312" w:hAnsi="宋体" w:eastAsia="仿宋_GB2312"/>
                <w:color w:val="000000" w:themeColor="text1"/>
                <w:sz w:val="20"/>
                <w:szCs w:val="20"/>
                <w14:textFill>
                  <w14:solidFill>
                    <w14:schemeClr w14:val="tx1"/>
                  </w14:solidFill>
                </w14:textFill>
              </w:rPr>
              <w:t>有本专业实际工作的中级（或以上）技术职称（含行业特许的职业资格证书）；（提供相应的职业资格证书）</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fldChar w:fldCharType="begin"/>
            </w:r>
            <w:r>
              <w:rPr>
                <w:rFonts w:hint="eastAsia" w:ascii="仿宋_GB2312" w:hAnsi="宋体" w:eastAsia="仿宋_GB2312"/>
                <w:color w:val="000000" w:themeColor="text1"/>
                <w:sz w:val="20"/>
                <w:szCs w:val="20"/>
                <w14:textFill>
                  <w14:solidFill>
                    <w14:schemeClr w14:val="tx1"/>
                  </w14:solidFill>
                </w14:textFill>
              </w:rPr>
              <w:instrText xml:space="preserve"> = 2 \* GB3 </w:instrText>
            </w:r>
            <w:r>
              <w:rPr>
                <w:rFonts w:hint="eastAsia" w:ascii="仿宋_GB2312" w:hAnsi="宋体" w:eastAsia="仿宋_GB2312"/>
                <w:color w:val="000000" w:themeColor="text1"/>
                <w:sz w:val="20"/>
                <w:szCs w:val="20"/>
                <w14:textFill>
                  <w14:solidFill>
                    <w14:schemeClr w14:val="tx1"/>
                  </w14:solidFill>
                </w14:textFill>
              </w:rPr>
              <w:fldChar w:fldCharType="separate"/>
            </w:r>
            <w:r>
              <w:rPr>
                <w:rFonts w:hint="eastAsia" w:ascii="仿宋_GB2312" w:hAnsi="宋体" w:eastAsia="仿宋_GB2312"/>
                <w:color w:val="000000" w:themeColor="text1"/>
                <w:sz w:val="20"/>
                <w:szCs w:val="20"/>
                <w14:textFill>
                  <w14:solidFill>
                    <w14:schemeClr w14:val="tx1"/>
                  </w14:solidFill>
                </w14:textFill>
              </w:rPr>
              <w:t>②</w:t>
            </w:r>
            <w:r>
              <w:rPr>
                <w:rFonts w:hint="eastAsia" w:ascii="仿宋_GB2312" w:hAnsi="宋体" w:eastAsia="仿宋_GB2312"/>
                <w:color w:val="000000" w:themeColor="text1"/>
                <w:sz w:val="20"/>
                <w:szCs w:val="20"/>
                <w14:textFill>
                  <w14:solidFill>
                    <w14:schemeClr w14:val="tx1"/>
                  </w14:solidFill>
                </w14:textFill>
              </w:rPr>
              <w:fldChar w:fldCharType="end"/>
            </w:r>
            <w:r>
              <w:rPr>
                <w:rFonts w:hint="eastAsia" w:ascii="仿宋_GB2312" w:hAnsi="宋体" w:eastAsia="仿宋_GB2312"/>
                <w:color w:val="000000" w:themeColor="text1"/>
                <w:sz w:val="20"/>
                <w:szCs w:val="20"/>
                <w14:textFill>
                  <w14:solidFill>
                    <w14:schemeClr w14:val="tx1"/>
                  </w14:solidFill>
                </w14:textFill>
              </w:rPr>
              <w:t>近五年中有两年以上（可累计计算）在企业第一线从事本专业实际工作经历，并能全面指导学生专业实践实训活动；（由组织人事处提供相应的证明材料）</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fldChar w:fldCharType="begin"/>
            </w:r>
            <w:r>
              <w:rPr>
                <w:rFonts w:hint="eastAsia" w:ascii="仿宋_GB2312" w:hAnsi="宋体" w:eastAsia="仿宋_GB2312"/>
                <w:color w:val="000000" w:themeColor="text1"/>
                <w:sz w:val="20"/>
                <w:szCs w:val="20"/>
                <w14:textFill>
                  <w14:solidFill>
                    <w14:schemeClr w14:val="tx1"/>
                  </w14:solidFill>
                </w14:textFill>
              </w:rPr>
              <w:instrText xml:space="preserve"> = 3 \* GB3 </w:instrText>
            </w:r>
            <w:r>
              <w:rPr>
                <w:rFonts w:hint="eastAsia" w:ascii="仿宋_GB2312" w:hAnsi="宋体" w:eastAsia="仿宋_GB2312"/>
                <w:color w:val="000000" w:themeColor="text1"/>
                <w:sz w:val="20"/>
                <w:szCs w:val="20"/>
                <w14:textFill>
                  <w14:solidFill>
                    <w14:schemeClr w14:val="tx1"/>
                  </w14:solidFill>
                </w14:textFill>
              </w:rPr>
              <w:fldChar w:fldCharType="separate"/>
            </w:r>
            <w:r>
              <w:rPr>
                <w:rFonts w:hint="eastAsia" w:ascii="仿宋_GB2312" w:hAnsi="宋体" w:eastAsia="仿宋_GB2312"/>
                <w:color w:val="000000" w:themeColor="text1"/>
                <w:sz w:val="20"/>
                <w:szCs w:val="20"/>
                <w14:textFill>
                  <w14:solidFill>
                    <w14:schemeClr w14:val="tx1"/>
                  </w14:solidFill>
                </w14:textFill>
              </w:rPr>
              <w:t>③</w:t>
            </w:r>
            <w:r>
              <w:rPr>
                <w:rFonts w:hint="eastAsia" w:ascii="仿宋_GB2312" w:hAnsi="宋体" w:eastAsia="仿宋_GB2312"/>
                <w:color w:val="000000" w:themeColor="text1"/>
                <w:sz w:val="20"/>
                <w:szCs w:val="20"/>
                <w14:textFill>
                  <w14:solidFill>
                    <w14:schemeClr w14:val="tx1"/>
                  </w14:solidFill>
                </w14:textFill>
              </w:rPr>
              <w:fldChar w:fldCharType="end"/>
            </w:r>
            <w:r>
              <w:rPr>
                <w:rFonts w:hint="eastAsia" w:ascii="仿宋_GB2312" w:hAnsi="宋体" w:eastAsia="仿宋_GB2312"/>
                <w:color w:val="000000" w:themeColor="text1"/>
                <w:sz w:val="20"/>
                <w:szCs w:val="20"/>
                <w14:textFill>
                  <w14:solidFill>
                    <w14:schemeClr w14:val="tx1"/>
                  </w14:solidFill>
                </w14:textFill>
              </w:rPr>
              <w:t>近五年主持（或主要参与）两项应用技术研究，成果已被企业使用，效益良好；（由科研处提供相应的证明材料）</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fldChar w:fldCharType="begin"/>
            </w:r>
            <w:r>
              <w:rPr>
                <w:rFonts w:hint="eastAsia" w:ascii="仿宋_GB2312" w:hAnsi="宋体" w:eastAsia="仿宋_GB2312"/>
                <w:color w:val="000000" w:themeColor="text1"/>
                <w:sz w:val="20"/>
                <w:szCs w:val="20"/>
                <w14:textFill>
                  <w14:solidFill>
                    <w14:schemeClr w14:val="tx1"/>
                  </w14:solidFill>
                </w14:textFill>
              </w:rPr>
              <w:instrText xml:space="preserve"> = 4 \* GB3 </w:instrText>
            </w:r>
            <w:r>
              <w:rPr>
                <w:rFonts w:hint="eastAsia" w:ascii="仿宋_GB2312" w:hAnsi="宋体" w:eastAsia="仿宋_GB2312"/>
                <w:color w:val="000000" w:themeColor="text1"/>
                <w:sz w:val="20"/>
                <w:szCs w:val="20"/>
                <w14:textFill>
                  <w14:solidFill>
                    <w14:schemeClr w14:val="tx1"/>
                  </w14:solidFill>
                </w14:textFill>
              </w:rPr>
              <w:fldChar w:fldCharType="separate"/>
            </w:r>
            <w:r>
              <w:rPr>
                <w:rFonts w:hint="eastAsia" w:ascii="仿宋_GB2312" w:hAnsi="宋体" w:eastAsia="仿宋_GB2312"/>
                <w:color w:val="000000" w:themeColor="text1"/>
                <w:sz w:val="20"/>
                <w:szCs w:val="20"/>
                <w14:textFill>
                  <w14:solidFill>
                    <w14:schemeClr w14:val="tx1"/>
                  </w14:solidFill>
                </w14:textFill>
              </w:rPr>
              <w:t>④</w:t>
            </w:r>
            <w:r>
              <w:rPr>
                <w:rFonts w:hint="eastAsia" w:ascii="仿宋_GB2312" w:hAnsi="宋体" w:eastAsia="仿宋_GB2312"/>
                <w:color w:val="000000" w:themeColor="text1"/>
                <w:sz w:val="20"/>
                <w:szCs w:val="20"/>
                <w14:textFill>
                  <w14:solidFill>
                    <w14:schemeClr w14:val="tx1"/>
                  </w14:solidFill>
                </w14:textFill>
              </w:rPr>
              <w:fldChar w:fldCharType="end"/>
            </w:r>
            <w:r>
              <w:rPr>
                <w:rFonts w:hint="eastAsia" w:ascii="仿宋_GB2312" w:hAnsi="宋体" w:eastAsia="仿宋_GB2312"/>
                <w:color w:val="000000" w:themeColor="text1"/>
                <w:sz w:val="20"/>
                <w:szCs w:val="20"/>
                <w14:textFill>
                  <w14:solidFill>
                    <w14:schemeClr w14:val="tx1"/>
                  </w14:solidFill>
                </w14:textFill>
              </w:rPr>
              <w:t>近五年主持（或主要参与）两项校内实践教学设施建设或提升技术水平的设计安装工作，使用效果好，在省内同类院校中居先进水平。（由信息与实训中心提供相应的证明材料）</w:t>
            </w:r>
          </w:p>
        </w:tc>
        <w:tc>
          <w:tcPr>
            <w:tcW w:w="5439" w:type="dxa"/>
            <w:vAlign w:val="center"/>
          </w:tcPr>
          <w:p>
            <w:pPr>
              <w:spacing w:line="320" w:lineRule="exact"/>
              <w:jc w:val="both"/>
              <w:rPr>
                <w:rFonts w:hint="eastAsia"/>
                <w:sz w:val="24"/>
                <w:szCs w:val="32"/>
                <w:lang w:val="en-US" w:eastAsia="zh-CN"/>
              </w:rPr>
            </w:pPr>
            <w:r>
              <w:rPr>
                <w:rFonts w:hint="eastAsia"/>
                <w:sz w:val="24"/>
                <w:szCs w:val="32"/>
                <w:lang w:val="en-US" w:eastAsia="zh-CN"/>
              </w:rPr>
              <w:t>《教育教学工作考核表》</w:t>
            </w:r>
          </w:p>
          <w:p>
            <w:pPr>
              <w:spacing w:line="320" w:lineRule="exact"/>
              <w:jc w:val="both"/>
              <w:rPr>
                <w:rFonts w:hint="default" w:ascii="宋体" w:hAnsi="宋体" w:eastAsia="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 xml:space="preserve">  </w:t>
            </w:r>
          </w:p>
        </w:tc>
        <w:tc>
          <w:tcPr>
            <w:tcW w:w="2292" w:type="dxa"/>
            <w:vAlign w:val="center"/>
          </w:tcPr>
          <w:p>
            <w:pPr>
              <w:pStyle w:val="2"/>
              <w:rPr>
                <w:rFonts w:hint="default"/>
                <w:sz w:val="24"/>
                <w:szCs w:val="32"/>
                <w:lang w:val="en-US" w:eastAsia="zh-CN"/>
              </w:rPr>
            </w:pPr>
            <w:r>
              <w:rPr>
                <w:rFonts w:hint="eastAsia"/>
                <w:sz w:val="24"/>
                <w:szCs w:val="32"/>
                <w:lang w:val="en-US" w:eastAsia="zh-CN"/>
              </w:rPr>
              <w:t>P2</w:t>
            </w:r>
          </w:p>
        </w:tc>
        <w:tc>
          <w:tcPr>
            <w:tcW w:w="1226" w:type="dxa"/>
            <w:vAlign w:val="center"/>
          </w:tcPr>
          <w:p>
            <w:pPr>
              <w:spacing w:line="320" w:lineRule="exact"/>
              <w:jc w:val="center"/>
              <w:rPr>
                <w:rFonts w:hint="eastAsia" w:ascii="宋体" w:hAnsi="宋体"/>
                <w:color w:val="000000" w:themeColor="text1"/>
                <w:sz w:val="24"/>
                <w:szCs w:val="24"/>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5</w:t>
            </w:r>
          </w:p>
        </w:tc>
        <w:tc>
          <w:tcPr>
            <w:tcW w:w="746" w:type="dxa"/>
            <w:vMerge w:val="restart"/>
            <w:vAlign w:val="center"/>
          </w:tcPr>
          <w:p>
            <w:pPr>
              <w:spacing w:line="320" w:lineRule="exact"/>
              <w:jc w:val="center"/>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9</w:t>
            </w:r>
          </w:p>
        </w:tc>
        <w:tc>
          <w:tcPr>
            <w:tcW w:w="815" w:type="dxa"/>
            <w:vAlign w:val="center"/>
          </w:tcPr>
          <w:p>
            <w:pPr>
              <w:spacing w:line="320" w:lineRule="exact"/>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dxa"/>
            <w:vMerge w:val="continue"/>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1275" w:type="dxa"/>
            <w:vMerge w:val="continue"/>
            <w:vAlign w:val="center"/>
          </w:tcPr>
          <w:p>
            <w:pPr>
              <w:spacing w:line="320" w:lineRule="exact"/>
              <w:rPr>
                <w:rFonts w:ascii="仿宋_GB2312" w:hAnsi="宋体" w:eastAsia="仿宋_GB2312"/>
                <w:color w:val="000000" w:themeColor="text1"/>
                <w:sz w:val="20"/>
                <w:szCs w:val="20"/>
                <w14:textFill>
                  <w14:solidFill>
                    <w14:schemeClr w14:val="tx1"/>
                  </w14:solidFill>
                </w14:textFill>
              </w:rPr>
            </w:pPr>
          </w:p>
        </w:tc>
        <w:tc>
          <w:tcPr>
            <w:tcW w:w="1276"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教   案</w:t>
            </w:r>
          </w:p>
        </w:tc>
        <w:tc>
          <w:tcPr>
            <w:tcW w:w="731"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5</w:t>
            </w:r>
          </w:p>
        </w:tc>
        <w:tc>
          <w:tcPr>
            <w:tcW w:w="3522"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统一评审上交教案，分优、良、合格、不合格四等，分别计5、4、2、0分。</w:t>
            </w:r>
          </w:p>
        </w:tc>
        <w:tc>
          <w:tcPr>
            <w:tcW w:w="4394" w:type="dxa"/>
            <w:vMerge w:val="continue"/>
            <w:vAlign w:val="center"/>
          </w:tcPr>
          <w:p>
            <w:pPr>
              <w:spacing w:line="320" w:lineRule="exact"/>
              <w:rPr>
                <w:rFonts w:ascii="仿宋_GB2312" w:hAnsi="宋体" w:eastAsia="仿宋_GB2312"/>
                <w:color w:val="000000" w:themeColor="text1"/>
                <w:sz w:val="20"/>
                <w:szCs w:val="20"/>
                <w14:textFill>
                  <w14:solidFill>
                    <w14:schemeClr w14:val="tx1"/>
                  </w14:solidFill>
                </w14:textFill>
              </w:rPr>
            </w:pPr>
          </w:p>
        </w:tc>
        <w:tc>
          <w:tcPr>
            <w:tcW w:w="5439" w:type="dxa"/>
            <w:vAlign w:val="center"/>
          </w:tcPr>
          <w:p>
            <w:pPr>
              <w:spacing w:line="320" w:lineRule="exact"/>
              <w:jc w:val="both"/>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《商务基础日语》教案</w:t>
            </w:r>
          </w:p>
        </w:tc>
        <w:tc>
          <w:tcPr>
            <w:tcW w:w="2292" w:type="dxa"/>
            <w:vAlign w:val="center"/>
          </w:tcPr>
          <w:p>
            <w:pPr>
              <w:spacing w:line="320" w:lineRule="exact"/>
              <w:jc w:val="center"/>
              <w:rPr>
                <w:rFonts w:ascii="宋体" w:hAnsi="宋体"/>
                <w:color w:val="000000" w:themeColor="text1"/>
                <w:sz w:val="30"/>
                <w:szCs w:val="30"/>
                <w14:textFill>
                  <w14:solidFill>
                    <w14:schemeClr w14:val="tx1"/>
                  </w14:solidFill>
                </w14:textFill>
              </w:rPr>
            </w:pPr>
          </w:p>
        </w:tc>
        <w:tc>
          <w:tcPr>
            <w:tcW w:w="1226" w:type="dxa"/>
            <w:vAlign w:val="center"/>
          </w:tcPr>
          <w:p>
            <w:pPr>
              <w:spacing w:line="320" w:lineRule="exact"/>
              <w:jc w:val="center"/>
              <w:rPr>
                <w:rFonts w:hint="eastAsia" w:ascii="宋体" w:hAnsi="宋体" w:eastAsia="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4</w:t>
            </w:r>
          </w:p>
        </w:tc>
        <w:tc>
          <w:tcPr>
            <w:tcW w:w="746" w:type="dxa"/>
            <w:vMerge w:val="continue"/>
          </w:tcPr>
          <w:p>
            <w:pPr>
              <w:spacing w:line="320" w:lineRule="exact"/>
              <w:rPr>
                <w:rFonts w:ascii="宋体" w:hAnsi="宋体"/>
                <w:color w:val="000000" w:themeColor="text1"/>
                <w:szCs w:val="21"/>
                <w14:textFill>
                  <w14:solidFill>
                    <w14:schemeClr w14:val="tx1"/>
                  </w14:solidFill>
                </w14:textFill>
              </w:rPr>
            </w:pP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1275" w:type="dxa"/>
            <w:vMerge w:val="continue"/>
            <w:vAlign w:val="center"/>
          </w:tcPr>
          <w:p>
            <w:pPr>
              <w:spacing w:line="320" w:lineRule="exact"/>
              <w:rPr>
                <w:rFonts w:ascii="仿宋_GB2312" w:hAnsi="宋体" w:eastAsia="仿宋_GB2312"/>
                <w:color w:val="000000" w:themeColor="text1"/>
                <w:sz w:val="20"/>
                <w:szCs w:val="20"/>
                <w14:textFill>
                  <w14:solidFill>
                    <w14:schemeClr w14:val="tx1"/>
                  </w14:solidFill>
                </w14:textFill>
              </w:rPr>
            </w:pPr>
          </w:p>
        </w:tc>
        <w:tc>
          <w:tcPr>
            <w:tcW w:w="1276"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教学骨干</w:t>
            </w:r>
          </w:p>
        </w:tc>
        <w:tc>
          <w:tcPr>
            <w:tcW w:w="731"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5</w:t>
            </w:r>
          </w:p>
        </w:tc>
        <w:tc>
          <w:tcPr>
            <w:tcW w:w="3522"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省级及以上教学团队负责人、教学名师计5分；省级专业带头人计4分；省级青年骨干教师计3分；教研室主任、副主任1分/年（不满1年不计分，共计不超3分）；符合双师素质条件的教师计2分；在国家行指委担任委员及以上的计2分，在国家行指委下设的专建委担任委员及以上的、省行指委担任委员及以上计1分（在多个行指委担任职务的，就高不就低，不重复计算）。</w:t>
            </w:r>
          </w:p>
        </w:tc>
        <w:tc>
          <w:tcPr>
            <w:tcW w:w="4394" w:type="dxa"/>
            <w:vMerge w:val="continue"/>
            <w:vAlign w:val="center"/>
          </w:tcPr>
          <w:p>
            <w:pPr>
              <w:spacing w:line="320" w:lineRule="exact"/>
              <w:rPr>
                <w:rFonts w:ascii="仿宋_GB2312" w:hAnsi="宋体" w:eastAsia="仿宋_GB2312"/>
                <w:color w:val="000000" w:themeColor="text1"/>
                <w:sz w:val="20"/>
                <w:szCs w:val="20"/>
                <w14:textFill>
                  <w14:solidFill>
                    <w14:schemeClr w14:val="tx1"/>
                  </w14:solidFill>
                </w14:textFill>
              </w:rPr>
            </w:pPr>
          </w:p>
        </w:tc>
        <w:tc>
          <w:tcPr>
            <w:tcW w:w="5439" w:type="dxa"/>
          </w:tcPr>
          <w:p>
            <w:pPr>
              <w:spacing w:line="320" w:lineRule="exact"/>
              <w:rPr>
                <w:rFonts w:ascii="宋体" w:hAnsi="宋体"/>
                <w:color w:val="000000" w:themeColor="text1"/>
                <w:szCs w:val="21"/>
                <w14:textFill>
                  <w14:solidFill>
                    <w14:schemeClr w14:val="tx1"/>
                  </w14:solidFill>
                </w14:textFill>
              </w:rPr>
            </w:pPr>
          </w:p>
        </w:tc>
        <w:tc>
          <w:tcPr>
            <w:tcW w:w="2292" w:type="dxa"/>
          </w:tcPr>
          <w:p>
            <w:pPr>
              <w:spacing w:line="320" w:lineRule="exact"/>
              <w:rPr>
                <w:rFonts w:ascii="宋体" w:hAnsi="宋体"/>
                <w:color w:val="000000" w:themeColor="text1"/>
                <w:szCs w:val="21"/>
                <w14:textFill>
                  <w14:solidFill>
                    <w14:schemeClr w14:val="tx1"/>
                  </w14:solidFill>
                </w14:textFill>
              </w:rPr>
            </w:pPr>
          </w:p>
        </w:tc>
        <w:tc>
          <w:tcPr>
            <w:tcW w:w="1226" w:type="dxa"/>
          </w:tcPr>
          <w:p>
            <w:pPr>
              <w:spacing w:line="320" w:lineRule="exact"/>
              <w:rPr>
                <w:rFonts w:ascii="宋体" w:hAnsi="宋体"/>
                <w:color w:val="000000" w:themeColor="text1"/>
                <w:sz w:val="28"/>
                <w:szCs w:val="28"/>
                <w14:textFill>
                  <w14:solidFill>
                    <w14:schemeClr w14:val="tx1"/>
                  </w14:solidFill>
                </w14:textFill>
              </w:rPr>
            </w:pPr>
          </w:p>
        </w:tc>
        <w:tc>
          <w:tcPr>
            <w:tcW w:w="746" w:type="dxa"/>
            <w:vMerge w:val="continue"/>
          </w:tcPr>
          <w:p>
            <w:pPr>
              <w:spacing w:line="320" w:lineRule="exact"/>
              <w:rPr>
                <w:rFonts w:ascii="宋体" w:hAnsi="宋体"/>
                <w:color w:val="000000" w:themeColor="text1"/>
                <w:szCs w:val="21"/>
                <w14:textFill>
                  <w14:solidFill>
                    <w14:schemeClr w14:val="tx1"/>
                  </w14:solidFill>
                </w14:textFill>
              </w:rPr>
            </w:pP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ascii="仿宋_GB2312" w:hAnsi="宋体" w:eastAsia="仿宋_GB2312"/>
                <w:color w:val="000000" w:themeColor="text1"/>
                <w:sz w:val="20"/>
                <w:szCs w:val="20"/>
                <w14:textFill>
                  <w14:solidFill>
                    <w14:schemeClr w14:val="tx1"/>
                  </w14:solidFill>
                </w14:textFill>
              </w:rPr>
              <w:t>2</w:t>
            </w:r>
          </w:p>
        </w:tc>
        <w:tc>
          <w:tcPr>
            <w:tcW w:w="1275"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教学工作量</w:t>
            </w:r>
          </w:p>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（10分）</w:t>
            </w:r>
          </w:p>
        </w:tc>
        <w:tc>
          <w:tcPr>
            <w:tcW w:w="1276"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p>
        </w:tc>
        <w:tc>
          <w:tcPr>
            <w:tcW w:w="731"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10</w:t>
            </w:r>
          </w:p>
        </w:tc>
        <w:tc>
          <w:tcPr>
            <w:tcW w:w="3522"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（1）专任教师任现职以来年平均课时量未达到360节计0分，达到计5分；课时量年均每超40学时再加1分。</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（2）非专任教师任现职以来，兼课年均课时量未达到120节的计0分，达到5分；课时量年均每超40/3学时再加1分。</w:t>
            </w:r>
          </w:p>
        </w:tc>
        <w:tc>
          <w:tcPr>
            <w:tcW w:w="4394"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（1）课时量统计以教务处核算的纳入专业人才培养方案并计算课酬的课时为准。</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任现职以来经批准的脱产学习与挂职锻炼等期间、因公援藏援疆与扶贫等期间、休产假或因公致伤一年之内与因病半年之内的（均由组织人事处提供证明材料）及不在高校就职的时段，可不计算在内；在其它高校任职的，以其所在高校出具的相关证明材料为准。</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（3）任现职以来，专任教师与非专任教师身份有变化的，分开分别计算。</w:t>
            </w:r>
          </w:p>
        </w:tc>
        <w:tc>
          <w:tcPr>
            <w:tcW w:w="5439" w:type="dxa"/>
            <w:vAlign w:val="center"/>
          </w:tcPr>
          <w:p>
            <w:pPr>
              <w:spacing w:line="320" w:lineRule="exact"/>
              <w:jc w:val="both"/>
              <w:rPr>
                <w:rFonts w:hint="eastAsia"/>
                <w:lang w:val="en-US" w:eastAsia="zh-CN"/>
              </w:rPr>
            </w:pPr>
            <w:r>
              <w:rPr>
                <w:rFonts w:hint="eastAsia"/>
                <w:sz w:val="24"/>
                <w:szCs w:val="32"/>
                <w:lang w:val="en-US" w:eastAsia="zh-CN"/>
              </w:rPr>
              <w:t>《教育教学工作考核表》</w:t>
            </w:r>
          </w:p>
          <w:p>
            <w:pPr>
              <w:spacing w:line="320" w:lineRule="exact"/>
              <w:jc w:val="both"/>
              <w:rPr>
                <w:rFonts w:hint="eastAsia"/>
                <w:lang w:val="en-US" w:eastAsia="zh-CN"/>
              </w:rPr>
            </w:pPr>
          </w:p>
          <w:p>
            <w:pPr>
              <w:spacing w:line="320" w:lineRule="exact"/>
              <w:jc w:val="both"/>
              <w:rPr>
                <w:rFonts w:hint="eastAsia"/>
                <w:lang w:val="en-US" w:eastAsia="zh-CN"/>
              </w:rPr>
            </w:pPr>
            <w:r>
              <w:rPr>
                <w:rFonts w:hint="eastAsia"/>
                <w:lang w:val="en-US" w:eastAsia="zh-CN"/>
              </w:rPr>
              <w:t>2018下-2019上学期 兼职辅导员 按照第（2）计算，共200课时；（第一学年学校规定的课时量为每周6课时）</w:t>
            </w:r>
          </w:p>
          <w:p>
            <w:pPr>
              <w:pStyle w:val="2"/>
              <w:jc w:val="both"/>
              <w:rPr>
                <w:rFonts w:hint="default"/>
                <w:lang w:val="en-US" w:eastAsia="zh-CN"/>
              </w:rPr>
            </w:pPr>
            <w:r>
              <w:rPr>
                <w:rFonts w:hint="eastAsia"/>
                <w:lang w:val="en-US" w:eastAsia="zh-CN"/>
              </w:rPr>
              <w:t>2019下-2021上学期 专任教师 按照第（1）计算，共861课时；</w:t>
            </w:r>
          </w:p>
        </w:tc>
        <w:tc>
          <w:tcPr>
            <w:tcW w:w="2292" w:type="dxa"/>
          </w:tcPr>
          <w:p>
            <w:pPr>
              <w:spacing w:line="320" w:lineRule="exact"/>
              <w:rPr>
                <w:rFonts w:hint="eastAsia"/>
                <w:sz w:val="24"/>
                <w:szCs w:val="32"/>
                <w:lang w:val="en-US" w:eastAsia="zh-CN"/>
              </w:rPr>
            </w:pPr>
          </w:p>
          <w:p>
            <w:pPr>
              <w:spacing w:line="320" w:lineRule="exact"/>
              <w:rPr>
                <w:rFonts w:hint="eastAsia"/>
                <w:sz w:val="24"/>
                <w:szCs w:val="32"/>
                <w:lang w:val="en-US" w:eastAsia="zh-CN"/>
              </w:rPr>
            </w:pPr>
          </w:p>
          <w:p>
            <w:pPr>
              <w:spacing w:line="320" w:lineRule="exact"/>
              <w:rPr>
                <w:rFonts w:hint="eastAsia"/>
                <w:sz w:val="24"/>
                <w:szCs w:val="32"/>
                <w:lang w:val="en-US" w:eastAsia="zh-CN"/>
              </w:rPr>
            </w:pPr>
          </w:p>
          <w:p>
            <w:pPr>
              <w:spacing w:line="320" w:lineRule="exact"/>
              <w:rPr>
                <w:rFonts w:hint="eastAsia"/>
                <w:sz w:val="24"/>
                <w:szCs w:val="32"/>
                <w:lang w:val="en-US" w:eastAsia="zh-CN"/>
              </w:rPr>
            </w:pPr>
          </w:p>
          <w:p>
            <w:pPr>
              <w:spacing w:line="320" w:lineRule="exact"/>
              <w:rPr>
                <w:rFonts w:ascii="宋体" w:hAnsi="宋体"/>
                <w:color w:val="000000" w:themeColor="text1"/>
                <w:szCs w:val="21"/>
                <w14:textFill>
                  <w14:solidFill>
                    <w14:schemeClr w14:val="tx1"/>
                  </w14:solidFill>
                </w14:textFill>
              </w:rPr>
            </w:pPr>
            <w:r>
              <w:rPr>
                <w:rFonts w:hint="eastAsia"/>
                <w:sz w:val="24"/>
                <w:szCs w:val="32"/>
                <w:lang w:val="en-US" w:eastAsia="zh-CN"/>
              </w:rPr>
              <w:t>P2</w:t>
            </w:r>
          </w:p>
        </w:tc>
        <w:tc>
          <w:tcPr>
            <w:tcW w:w="1226" w:type="dxa"/>
            <w:vAlign w:val="center"/>
          </w:tcPr>
          <w:p>
            <w:pPr>
              <w:spacing w:line="320" w:lineRule="exact"/>
              <w:jc w:val="center"/>
              <w:rPr>
                <w:rFonts w:hint="default" w:ascii="宋体" w:hAnsi="宋体" w:eastAsia="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10</w:t>
            </w:r>
          </w:p>
        </w:tc>
        <w:tc>
          <w:tcPr>
            <w:tcW w:w="746" w:type="dxa"/>
          </w:tcPr>
          <w:p>
            <w:pPr>
              <w:spacing w:line="320" w:lineRule="exact"/>
              <w:rPr>
                <w:rFonts w:hint="eastAsia" w:ascii="宋体" w:hAnsi="宋体"/>
                <w:color w:val="000000" w:themeColor="text1"/>
                <w:sz w:val="28"/>
                <w:szCs w:val="28"/>
                <w:lang w:val="en-US" w:eastAsia="zh-CN"/>
                <w14:textFill>
                  <w14:solidFill>
                    <w14:schemeClr w14:val="tx1"/>
                  </w14:solidFill>
                </w14:textFill>
              </w:rPr>
            </w:pPr>
          </w:p>
          <w:p>
            <w:pPr>
              <w:spacing w:line="320" w:lineRule="exact"/>
              <w:rPr>
                <w:rFonts w:hint="eastAsia" w:ascii="宋体" w:hAnsi="宋体"/>
                <w:color w:val="000000" w:themeColor="text1"/>
                <w:sz w:val="28"/>
                <w:szCs w:val="28"/>
                <w:lang w:val="en-US" w:eastAsia="zh-CN"/>
                <w14:textFill>
                  <w14:solidFill>
                    <w14:schemeClr w14:val="tx1"/>
                  </w14:solidFill>
                </w14:textFill>
              </w:rPr>
            </w:pPr>
          </w:p>
          <w:p>
            <w:pPr>
              <w:spacing w:line="320" w:lineRule="exact"/>
              <w:rPr>
                <w:rFonts w:hint="eastAsia" w:ascii="宋体" w:hAnsi="宋体"/>
                <w:color w:val="000000" w:themeColor="text1"/>
                <w:sz w:val="28"/>
                <w:szCs w:val="28"/>
                <w:lang w:val="en-US" w:eastAsia="zh-CN"/>
                <w14:textFill>
                  <w14:solidFill>
                    <w14:schemeClr w14:val="tx1"/>
                  </w14:solidFill>
                </w14:textFill>
              </w:rPr>
            </w:pPr>
          </w:p>
          <w:p>
            <w:pPr>
              <w:spacing w:line="320" w:lineRule="exact"/>
              <w:rPr>
                <w:rFonts w:hint="eastAsia" w:ascii="宋体" w:hAnsi="宋体"/>
                <w:color w:val="000000" w:themeColor="text1"/>
                <w:sz w:val="28"/>
                <w:szCs w:val="28"/>
                <w:lang w:val="en-US" w:eastAsia="zh-CN"/>
                <w14:textFill>
                  <w14:solidFill>
                    <w14:schemeClr w14:val="tx1"/>
                  </w14:solidFill>
                </w14:textFill>
              </w:rPr>
            </w:pPr>
          </w:p>
          <w:p>
            <w:pPr>
              <w:spacing w:line="320" w:lineRule="exact"/>
              <w:jc w:val="center"/>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10</w:t>
            </w: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4</w:t>
            </w:r>
          </w:p>
          <w:p>
            <w:pPr>
              <w:spacing w:line="320" w:lineRule="exact"/>
              <w:rPr>
                <w:rFonts w:ascii="仿宋_GB2312" w:hAnsi="宋体" w:eastAsia="仿宋_GB2312"/>
                <w:color w:val="000000" w:themeColor="text1"/>
                <w:sz w:val="20"/>
                <w:szCs w:val="20"/>
                <w14:textFill>
                  <w14:solidFill>
                    <w14:schemeClr w14:val="tx1"/>
                  </w14:solidFill>
                </w14:textFill>
              </w:rPr>
            </w:pPr>
          </w:p>
        </w:tc>
        <w:tc>
          <w:tcPr>
            <w:tcW w:w="1275" w:type="dxa"/>
            <w:vMerge w:val="restart"/>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教学效果</w:t>
            </w:r>
          </w:p>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（7</w:t>
            </w:r>
            <w:r>
              <w:rPr>
                <w:rFonts w:ascii="仿宋_GB2312" w:hAnsi="宋体" w:eastAsia="仿宋_GB2312"/>
                <w:color w:val="000000" w:themeColor="text1"/>
                <w:sz w:val="20"/>
                <w:szCs w:val="20"/>
                <w14:textFill>
                  <w14:solidFill>
                    <w14:schemeClr w14:val="tx1"/>
                  </w14:solidFill>
                </w14:textFill>
              </w:rPr>
              <w:t>5</w:t>
            </w:r>
            <w:r>
              <w:rPr>
                <w:rFonts w:hint="eastAsia" w:ascii="仿宋_GB2312" w:hAnsi="宋体" w:eastAsia="仿宋_GB2312"/>
                <w:color w:val="000000" w:themeColor="text1"/>
                <w:sz w:val="20"/>
                <w:szCs w:val="20"/>
                <w14:textFill>
                  <w14:solidFill>
                    <w14:schemeClr w14:val="tx1"/>
                  </w14:solidFill>
                </w14:textFill>
              </w:rPr>
              <w:t>分）</w:t>
            </w:r>
          </w:p>
        </w:tc>
        <w:tc>
          <w:tcPr>
            <w:tcW w:w="1276"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教学评价</w:t>
            </w:r>
          </w:p>
        </w:tc>
        <w:tc>
          <w:tcPr>
            <w:tcW w:w="731"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10</w:t>
            </w:r>
          </w:p>
        </w:tc>
        <w:tc>
          <w:tcPr>
            <w:tcW w:w="3522"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以近5年每学期教学质量系数测评为依据分A、B、C、D四等，分别计10、8、5、0分。一般教学事故减2分/次；严重教学事故减5分/次；重大教学事故减10分/次。</w:t>
            </w:r>
          </w:p>
        </w:tc>
        <w:tc>
          <w:tcPr>
            <w:tcW w:w="4394"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（1）教学评价得分=（N1*</w:t>
            </w:r>
            <w:r>
              <w:rPr>
                <w:rFonts w:ascii="仿宋_GB2312" w:hAnsi="宋体" w:eastAsia="仿宋_GB2312"/>
                <w:color w:val="000000" w:themeColor="text1"/>
                <w:sz w:val="20"/>
                <w:szCs w:val="20"/>
                <w14:textFill>
                  <w14:solidFill>
                    <w14:schemeClr w14:val="tx1"/>
                  </w14:solidFill>
                </w14:textFill>
              </w:rPr>
              <w:t>10</w:t>
            </w:r>
            <w:r>
              <w:rPr>
                <w:rFonts w:hint="eastAsia" w:ascii="仿宋_GB2312" w:hAnsi="宋体" w:eastAsia="仿宋_GB2312"/>
                <w:color w:val="000000" w:themeColor="text1"/>
                <w:sz w:val="20"/>
                <w:szCs w:val="20"/>
                <w14:textFill>
                  <w14:solidFill>
                    <w14:schemeClr w14:val="tx1"/>
                  </w14:solidFill>
                </w14:textFill>
              </w:rPr>
              <w:t>+N2*</w:t>
            </w:r>
            <w:r>
              <w:rPr>
                <w:rFonts w:ascii="仿宋_GB2312" w:hAnsi="宋体" w:eastAsia="仿宋_GB2312"/>
                <w:color w:val="000000" w:themeColor="text1"/>
                <w:sz w:val="20"/>
                <w:szCs w:val="20"/>
                <w14:textFill>
                  <w14:solidFill>
                    <w14:schemeClr w14:val="tx1"/>
                  </w14:solidFill>
                </w14:textFill>
              </w:rPr>
              <w:t>8</w:t>
            </w:r>
            <w:r>
              <w:rPr>
                <w:rFonts w:hint="eastAsia" w:ascii="仿宋_GB2312" w:hAnsi="宋体" w:eastAsia="仿宋_GB2312"/>
                <w:color w:val="000000" w:themeColor="text1"/>
                <w:sz w:val="20"/>
                <w:szCs w:val="20"/>
                <w14:textFill>
                  <w14:solidFill>
                    <w14:schemeClr w14:val="tx1"/>
                  </w14:solidFill>
                </w14:textFill>
              </w:rPr>
              <w:t>+N3*</w:t>
            </w:r>
            <w:r>
              <w:rPr>
                <w:rFonts w:ascii="仿宋_GB2312" w:hAnsi="宋体" w:eastAsia="仿宋_GB2312"/>
                <w:color w:val="000000" w:themeColor="text1"/>
                <w:sz w:val="20"/>
                <w:szCs w:val="20"/>
                <w14:textFill>
                  <w14:solidFill>
                    <w14:schemeClr w14:val="tx1"/>
                  </w14:solidFill>
                </w14:textFill>
              </w:rPr>
              <w:t>5</w:t>
            </w:r>
            <w:r>
              <w:rPr>
                <w:rFonts w:hint="eastAsia" w:ascii="仿宋_GB2312" w:hAnsi="宋体" w:eastAsia="仿宋_GB2312"/>
                <w:color w:val="000000" w:themeColor="text1"/>
                <w:sz w:val="20"/>
                <w:szCs w:val="20"/>
                <w14:textFill>
                  <w14:solidFill>
                    <w14:schemeClr w14:val="tx1"/>
                  </w14:solidFill>
                </w14:textFill>
              </w:rPr>
              <w:t>）/（N1+N2+N3+N4）-M。（N1、N2、N3</w:t>
            </w:r>
            <w:r>
              <w:rPr>
                <w:rFonts w:hint="eastAsia" w:ascii="仿宋_GB2312" w:eastAsia="仿宋_GB2312"/>
                <w:color w:val="000000" w:themeColor="text1"/>
                <w:sz w:val="20"/>
                <w:szCs w:val="20"/>
                <w14:textFill>
                  <w14:solidFill>
                    <w14:schemeClr w14:val="tx1"/>
                  </w14:solidFill>
                </w14:textFill>
              </w:rPr>
              <w:t>、</w:t>
            </w:r>
            <w:r>
              <w:rPr>
                <w:rFonts w:hint="eastAsia" w:ascii="仿宋_GB2312" w:hAnsi="宋体" w:eastAsia="仿宋_GB2312"/>
                <w:color w:val="000000" w:themeColor="text1"/>
                <w:sz w:val="20"/>
                <w:szCs w:val="20"/>
                <w14:textFill>
                  <w14:solidFill>
                    <w14:schemeClr w14:val="tx1"/>
                  </w14:solidFill>
                </w14:textFill>
              </w:rPr>
              <w:t>N4分别为教师近5年内教师在教学质量系数中所获A、B、C、D的次数，M为教学事故应扣分数。</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（2）在我校有教学质量系数测评记录年数未满5年的教师，以其近5年内所有的测评记录按照上述公式计算教学评价得分。</w:t>
            </w:r>
          </w:p>
        </w:tc>
        <w:tc>
          <w:tcPr>
            <w:tcW w:w="5439" w:type="dxa"/>
          </w:tcPr>
          <w:p>
            <w:pPr>
              <w:spacing w:line="320" w:lineRule="exact"/>
              <w:rPr>
                <w:rFonts w:hint="eastAsia" w:ascii="宋体" w:hAnsi="宋体"/>
                <w:color w:val="000000" w:themeColor="text1"/>
                <w:szCs w:val="21"/>
                <w:lang w:val="en-US" w:eastAsia="zh-CN"/>
                <w14:textFill>
                  <w14:solidFill>
                    <w14:schemeClr w14:val="tx1"/>
                  </w14:solidFill>
                </w14:textFill>
              </w:rPr>
            </w:pPr>
          </w:p>
          <w:p>
            <w:pPr>
              <w:spacing w:line="320" w:lineRule="exact"/>
              <w:jc w:val="both"/>
              <w:rPr>
                <w:rFonts w:hint="eastAsia"/>
                <w:sz w:val="24"/>
                <w:szCs w:val="32"/>
                <w:lang w:val="en-US" w:eastAsia="zh-CN"/>
              </w:rPr>
            </w:pPr>
          </w:p>
          <w:p>
            <w:pPr>
              <w:spacing w:line="320" w:lineRule="exact"/>
              <w:jc w:val="both"/>
              <w:rPr>
                <w:rFonts w:hint="default" w:ascii="宋体" w:hAnsi="宋体" w:eastAsia="宋体"/>
                <w:color w:val="000000" w:themeColor="text1"/>
                <w:szCs w:val="21"/>
                <w:lang w:val="en-US" w:eastAsia="zh-CN"/>
                <w14:textFill>
                  <w14:solidFill>
                    <w14:schemeClr w14:val="tx1"/>
                  </w14:solidFill>
                </w14:textFill>
              </w:rPr>
            </w:pPr>
            <w:r>
              <w:rPr>
                <w:rFonts w:hint="eastAsia"/>
                <w:sz w:val="24"/>
                <w:szCs w:val="32"/>
                <w:lang w:val="en-US" w:eastAsia="zh-CN"/>
              </w:rPr>
              <w:t>《教育教学工作考核表》</w:t>
            </w:r>
          </w:p>
        </w:tc>
        <w:tc>
          <w:tcPr>
            <w:tcW w:w="2292" w:type="dxa"/>
          </w:tcPr>
          <w:p>
            <w:pPr>
              <w:spacing w:line="320" w:lineRule="exact"/>
              <w:rPr>
                <w:rFonts w:hint="eastAsia"/>
                <w:sz w:val="24"/>
                <w:szCs w:val="32"/>
                <w:lang w:val="en-US" w:eastAsia="zh-CN"/>
              </w:rPr>
            </w:pPr>
          </w:p>
          <w:p>
            <w:pPr>
              <w:spacing w:line="320" w:lineRule="exact"/>
              <w:rPr>
                <w:rFonts w:hint="eastAsia"/>
                <w:sz w:val="24"/>
                <w:szCs w:val="32"/>
                <w:lang w:val="en-US" w:eastAsia="zh-CN"/>
              </w:rPr>
            </w:pPr>
          </w:p>
          <w:p>
            <w:pPr>
              <w:spacing w:line="320" w:lineRule="exact"/>
              <w:rPr>
                <w:rFonts w:ascii="宋体" w:hAnsi="宋体" w:cs="宋体"/>
                <w:color w:val="000000" w:themeColor="text1"/>
                <w:szCs w:val="21"/>
                <w14:textFill>
                  <w14:solidFill>
                    <w14:schemeClr w14:val="tx1"/>
                  </w14:solidFill>
                </w14:textFill>
              </w:rPr>
            </w:pPr>
            <w:r>
              <w:rPr>
                <w:rFonts w:hint="eastAsia"/>
                <w:sz w:val="24"/>
                <w:szCs w:val="32"/>
                <w:lang w:val="en-US" w:eastAsia="zh-CN"/>
              </w:rPr>
              <w:t>P2</w:t>
            </w:r>
          </w:p>
        </w:tc>
        <w:tc>
          <w:tcPr>
            <w:tcW w:w="1226" w:type="dxa"/>
            <w:vAlign w:val="center"/>
          </w:tcPr>
          <w:p>
            <w:pPr>
              <w:spacing w:line="320" w:lineRule="exact"/>
              <w:jc w:val="center"/>
            </w:pPr>
          </w:p>
          <w:p>
            <w:pPr>
              <w:pStyle w:val="2"/>
              <w:jc w:val="center"/>
              <w:rPr>
                <w:rFonts w:hint="default" w:ascii="宋体" w:hAnsi="宋体" w:eastAsia="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6.3</w:t>
            </w:r>
          </w:p>
        </w:tc>
        <w:tc>
          <w:tcPr>
            <w:tcW w:w="746" w:type="dxa"/>
          </w:tcPr>
          <w:p>
            <w:pPr>
              <w:spacing w:line="320" w:lineRule="exact"/>
            </w:pPr>
          </w:p>
          <w:p>
            <w:pPr>
              <w:pStyle w:val="2"/>
              <w:rPr>
                <w:rFonts w:ascii="宋体" w:hAnsi="宋体"/>
                <w:color w:val="000000" w:themeColor="text1"/>
                <w:szCs w:val="21"/>
                <w14:textFill>
                  <w14:solidFill>
                    <w14:schemeClr w14:val="tx1"/>
                  </w14:solidFill>
                </w14:textFill>
              </w:rPr>
            </w:pPr>
          </w:p>
          <w:p>
            <w:pPr>
              <w:pStyle w:val="2"/>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6.3</w:t>
            </w: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1275" w:type="dxa"/>
            <w:vMerge w:val="continue"/>
            <w:vAlign w:val="center"/>
          </w:tcPr>
          <w:p>
            <w:pPr>
              <w:spacing w:line="320" w:lineRule="exact"/>
              <w:rPr>
                <w:rFonts w:ascii="仿宋_GB2312" w:hAnsi="宋体" w:eastAsia="仿宋_GB2312"/>
                <w:color w:val="000000" w:themeColor="text1"/>
                <w:sz w:val="20"/>
                <w:szCs w:val="20"/>
                <w14:textFill>
                  <w14:solidFill>
                    <w14:schemeClr w14:val="tx1"/>
                  </w14:solidFill>
                </w14:textFill>
              </w:rPr>
            </w:pPr>
          </w:p>
        </w:tc>
        <w:tc>
          <w:tcPr>
            <w:tcW w:w="1276" w:type="dxa"/>
            <w:vMerge w:val="restart"/>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指导学生参加竞赛、毕业设计、专业技能抽查、社会实践（调查）获奖</w:t>
            </w:r>
          </w:p>
        </w:tc>
        <w:tc>
          <w:tcPr>
            <w:tcW w:w="731" w:type="dxa"/>
            <w:vMerge w:val="restart"/>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20</w:t>
            </w:r>
          </w:p>
        </w:tc>
        <w:tc>
          <w:tcPr>
            <w:tcW w:w="3522" w:type="dxa"/>
            <w:vAlign w:val="center"/>
          </w:tcPr>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（1）国家级一等奖计</w:t>
            </w:r>
            <w:r>
              <w:rPr>
                <w:rFonts w:ascii="仿宋_GB2312" w:hAnsi="宋体" w:eastAsia="仿宋_GB2312"/>
                <w:color w:val="000000" w:themeColor="text1"/>
                <w:kern w:val="0"/>
                <w:sz w:val="20"/>
                <w:szCs w:val="20"/>
                <w14:textFill>
                  <w14:solidFill>
                    <w14:schemeClr w14:val="tx1"/>
                  </w14:solidFill>
                </w14:textFill>
              </w:rPr>
              <w:t>2</w:t>
            </w:r>
            <w:r>
              <w:rPr>
                <w:rFonts w:hint="eastAsia" w:ascii="仿宋_GB2312" w:hAnsi="宋体" w:eastAsia="仿宋_GB2312"/>
                <w:color w:val="000000" w:themeColor="text1"/>
                <w:kern w:val="0"/>
                <w:sz w:val="20"/>
                <w:szCs w:val="20"/>
                <w14:textFill>
                  <w14:solidFill>
                    <w14:schemeClr w14:val="tx1"/>
                  </w14:solidFill>
                </w14:textFill>
              </w:rPr>
              <w:t>0分，二等奖计</w:t>
            </w:r>
            <w:r>
              <w:rPr>
                <w:rFonts w:ascii="仿宋_GB2312" w:hAnsi="宋体" w:eastAsia="仿宋_GB2312"/>
                <w:color w:val="000000" w:themeColor="text1"/>
                <w:kern w:val="0"/>
                <w:sz w:val="20"/>
                <w:szCs w:val="20"/>
                <w14:textFill>
                  <w14:solidFill>
                    <w14:schemeClr w14:val="tx1"/>
                  </w14:solidFill>
                </w14:textFill>
              </w:rPr>
              <w:t>12</w:t>
            </w:r>
            <w:r>
              <w:rPr>
                <w:rFonts w:hint="eastAsia" w:ascii="仿宋_GB2312" w:hAnsi="宋体" w:eastAsia="仿宋_GB2312"/>
                <w:color w:val="000000" w:themeColor="text1"/>
                <w:kern w:val="0"/>
                <w:sz w:val="20"/>
                <w:szCs w:val="20"/>
                <w14:textFill>
                  <w14:solidFill>
                    <w14:schemeClr w14:val="tx1"/>
                  </w14:solidFill>
                </w14:textFill>
              </w:rPr>
              <w:t>分，三等奖计8分。</w:t>
            </w:r>
          </w:p>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（2）省（部）级一等奖计5分，二等奖计3分，三等奖计</w:t>
            </w:r>
            <w:r>
              <w:rPr>
                <w:rFonts w:ascii="仿宋_GB2312" w:hAnsi="宋体" w:eastAsia="仿宋_GB2312"/>
                <w:color w:val="000000" w:themeColor="text1"/>
                <w:kern w:val="0"/>
                <w:sz w:val="20"/>
                <w:szCs w:val="20"/>
                <w14:textFill>
                  <w14:solidFill>
                    <w14:schemeClr w14:val="tx1"/>
                  </w14:solidFill>
                </w14:textFill>
              </w:rPr>
              <w:t>2</w:t>
            </w:r>
            <w:r>
              <w:rPr>
                <w:rFonts w:hint="eastAsia" w:ascii="仿宋_GB2312" w:hAnsi="宋体" w:eastAsia="仿宋_GB2312"/>
                <w:color w:val="000000" w:themeColor="text1"/>
                <w:kern w:val="0"/>
                <w:sz w:val="20"/>
                <w:szCs w:val="20"/>
                <w14:textFill>
                  <w14:solidFill>
                    <w14:schemeClr w14:val="tx1"/>
                  </w14:solidFill>
                </w14:textFill>
              </w:rPr>
              <w:t>分。</w:t>
            </w:r>
          </w:p>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（3）市（厅、院）级一等奖计1分，院级累计不超过2分。</w:t>
            </w:r>
          </w:p>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（4）国际比赛获奖按国家级一等奖计分。</w:t>
            </w:r>
          </w:p>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（5）设特等奖的项目，特等奖按上述一等奖计算，以此类推，三等奖不计分。</w:t>
            </w:r>
          </w:p>
        </w:tc>
        <w:tc>
          <w:tcPr>
            <w:tcW w:w="4394" w:type="dxa"/>
            <w:vAlign w:val="center"/>
          </w:tcPr>
          <w:p>
            <w:pPr>
              <w:spacing w:line="320" w:lineRule="exact"/>
              <w:rPr>
                <w:rFonts w:hint="eastAsia"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此表所指学生竞赛是指学校《技能竞赛管理与奖励办法》（湘商职院发〔2019〕59号）中规定的由教育行政部门牵头主办的A类比赛、大学生创新创业大赛、黄炎培职业教育奖创业规划、“挑战杯”创新创业大赛及由人力资源和社会保障部门牵头主办的世界技能大赛。由大学生微电影、 “挑战杯”大学生课外学术科技作品等竞赛及人力资源和社会保障部门牵头主办的世界技能大赛以外的竞赛项目，按表中分数的70%计算。</w:t>
            </w:r>
          </w:p>
          <w:p>
            <w:pPr>
              <w:spacing w:line="320" w:lineRule="exact"/>
              <w:rPr>
                <w:rFonts w:hint="eastAsia"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（2）指导学生竞赛的指导教师，以能体现指导老师姓名、学生获奖等次、颁奖单位的获奖证书为准。</w:t>
            </w:r>
          </w:p>
          <w:p>
            <w:pPr>
              <w:spacing w:line="320" w:lineRule="exact"/>
              <w:rPr>
                <w:rFonts w:hint="eastAsia"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w:t>
            </w:r>
            <w:r>
              <w:rPr>
                <w:rFonts w:ascii="仿宋_GB2312" w:hAnsi="宋体" w:eastAsia="仿宋_GB2312"/>
                <w:color w:val="000000" w:themeColor="text1"/>
                <w:sz w:val="20"/>
                <w:szCs w:val="20"/>
                <w14:textFill>
                  <w14:solidFill>
                    <w14:schemeClr w14:val="tx1"/>
                  </w14:solidFill>
                </w14:textFill>
              </w:rPr>
              <w:t>3</w:t>
            </w:r>
            <w:r>
              <w:rPr>
                <w:rFonts w:hint="eastAsia" w:ascii="仿宋_GB2312" w:hAnsi="宋体" w:eastAsia="仿宋_GB2312"/>
                <w:color w:val="000000" w:themeColor="text1"/>
                <w:sz w:val="20"/>
                <w:szCs w:val="20"/>
                <w14:textFill>
                  <w14:solidFill>
                    <w14:schemeClr w14:val="tx1"/>
                  </w14:solidFill>
                </w14:textFill>
              </w:rPr>
              <w:t>）由学院批准参加的由国家行指委或国家级学会组织的全国比赛视同省级，全省初赛视同市厅级。湖南省高职高专院校信息素养大赛视同省级赛。</w:t>
            </w:r>
          </w:p>
          <w:p>
            <w:pPr>
              <w:spacing w:line="320" w:lineRule="exact"/>
              <w:rPr>
                <w:rFonts w:hint="eastAsia"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w:t>
            </w:r>
            <w:r>
              <w:rPr>
                <w:rFonts w:ascii="仿宋_GB2312" w:hAnsi="宋体" w:eastAsia="仿宋_GB2312"/>
                <w:color w:val="000000" w:themeColor="text1"/>
                <w:sz w:val="20"/>
                <w:szCs w:val="20"/>
                <w14:textFill>
                  <w14:solidFill>
                    <w14:schemeClr w14:val="tx1"/>
                  </w14:solidFill>
                </w14:textFill>
              </w:rPr>
              <w:t>4</w:t>
            </w:r>
            <w:r>
              <w:rPr>
                <w:rFonts w:hint="eastAsia" w:ascii="仿宋_GB2312" w:hAnsi="宋体" w:eastAsia="仿宋_GB2312"/>
                <w:color w:val="000000" w:themeColor="text1"/>
                <w:sz w:val="20"/>
                <w:szCs w:val="20"/>
                <w14:textFill>
                  <w14:solidFill>
                    <w14:schemeClr w14:val="tx1"/>
                  </w14:solidFill>
                </w14:textFill>
              </w:rPr>
              <w:t>）未经学院批准参加的比赛不计分；院级B类项目不计分。</w:t>
            </w:r>
          </w:p>
          <w:p>
            <w:pPr>
              <w:spacing w:line="320" w:lineRule="exact"/>
              <w:rPr>
                <w:rFonts w:hint="eastAsia"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w:t>
            </w:r>
            <w:r>
              <w:rPr>
                <w:rFonts w:ascii="仿宋_GB2312" w:hAnsi="宋体" w:eastAsia="仿宋_GB2312"/>
                <w:color w:val="000000" w:themeColor="text1"/>
                <w:sz w:val="20"/>
                <w:szCs w:val="20"/>
                <w14:textFill>
                  <w14:solidFill>
                    <w14:schemeClr w14:val="tx1"/>
                  </w14:solidFill>
                </w14:textFill>
              </w:rPr>
              <w:t>5</w:t>
            </w:r>
            <w:r>
              <w:rPr>
                <w:rFonts w:hint="eastAsia" w:ascii="仿宋_GB2312" w:hAnsi="宋体" w:eastAsia="仿宋_GB2312"/>
                <w:color w:val="000000" w:themeColor="text1"/>
                <w:sz w:val="20"/>
                <w:szCs w:val="20"/>
                <w14:textFill>
                  <w14:solidFill>
                    <w14:schemeClr w14:val="tx1"/>
                  </w14:solidFill>
                </w14:textFill>
              </w:rPr>
              <w:t>）以个人指导学生参赛的项目按表中分数计分，在以教师团队指导学生参赛的项目中排名第一的指导老师按表中所列分数计分，排名第二的按70%记分，从排名第三起不计分。（排名以赛前填报教务处名单为准。）</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w:t>
            </w:r>
            <w:r>
              <w:rPr>
                <w:rFonts w:ascii="仿宋_GB2312" w:hAnsi="宋体" w:eastAsia="仿宋_GB2312"/>
                <w:color w:val="000000" w:themeColor="text1"/>
                <w:sz w:val="20"/>
                <w:szCs w:val="20"/>
                <w14:textFill>
                  <w14:solidFill>
                    <w14:schemeClr w14:val="tx1"/>
                  </w14:solidFill>
                </w14:textFill>
              </w:rPr>
              <w:t>6</w:t>
            </w:r>
            <w:r>
              <w:rPr>
                <w:rFonts w:hint="eastAsia" w:ascii="仿宋_GB2312" w:hAnsi="宋体" w:eastAsia="仿宋_GB2312"/>
                <w:color w:val="000000" w:themeColor="text1"/>
                <w:sz w:val="20"/>
                <w:szCs w:val="20"/>
                <w14:textFill>
                  <w14:solidFill>
                    <w14:schemeClr w14:val="tx1"/>
                  </w14:solidFill>
                </w14:textFill>
              </w:rPr>
              <w:t>）同年度同一项目按最高级获奖计分。</w:t>
            </w:r>
          </w:p>
        </w:tc>
        <w:tc>
          <w:tcPr>
            <w:tcW w:w="5439" w:type="dxa"/>
          </w:tcPr>
          <w:p>
            <w:pPr>
              <w:spacing w:line="320" w:lineRule="exact"/>
              <w:rPr>
                <w:rFonts w:ascii="宋体" w:hAnsi="宋体"/>
                <w:color w:val="000000" w:themeColor="text1"/>
                <w:szCs w:val="21"/>
                <w14:textFill>
                  <w14:solidFill>
                    <w14:schemeClr w14:val="tx1"/>
                  </w14:solidFill>
                </w14:textFill>
              </w:rPr>
            </w:pPr>
          </w:p>
        </w:tc>
        <w:tc>
          <w:tcPr>
            <w:tcW w:w="2292" w:type="dxa"/>
          </w:tcPr>
          <w:p>
            <w:pPr>
              <w:spacing w:line="320" w:lineRule="exact"/>
              <w:rPr>
                <w:rFonts w:hint="eastAsia" w:ascii="宋体" w:hAnsi="宋体" w:cs="宋体"/>
                <w:szCs w:val="21"/>
              </w:rPr>
            </w:pPr>
          </w:p>
        </w:tc>
        <w:tc>
          <w:tcPr>
            <w:tcW w:w="1226" w:type="dxa"/>
          </w:tcPr>
          <w:p>
            <w:pPr>
              <w:spacing w:line="320" w:lineRule="exact"/>
              <w:rPr>
                <w:rFonts w:ascii="宋体" w:hAnsi="宋体"/>
                <w:color w:val="000000" w:themeColor="text1"/>
                <w:szCs w:val="21"/>
                <w14:textFill>
                  <w14:solidFill>
                    <w14:schemeClr w14:val="tx1"/>
                  </w14:solidFill>
                </w14:textFill>
              </w:rPr>
            </w:pPr>
          </w:p>
        </w:tc>
        <w:tc>
          <w:tcPr>
            <w:tcW w:w="746" w:type="dxa"/>
          </w:tcPr>
          <w:p>
            <w:pPr>
              <w:spacing w:line="320" w:lineRule="exact"/>
              <w:rPr>
                <w:rFonts w:ascii="宋体" w:hAnsi="宋体"/>
                <w:color w:val="000000" w:themeColor="text1"/>
                <w:szCs w:val="21"/>
                <w14:textFill>
                  <w14:solidFill>
                    <w14:schemeClr w14:val="tx1"/>
                  </w14:solidFill>
                </w14:textFill>
              </w:rPr>
            </w:pP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1275" w:type="dxa"/>
            <w:vMerge w:val="continue"/>
            <w:vAlign w:val="center"/>
          </w:tcPr>
          <w:p>
            <w:pPr>
              <w:spacing w:line="320" w:lineRule="exact"/>
              <w:rPr>
                <w:rFonts w:ascii="仿宋_GB2312" w:hAnsi="宋体" w:eastAsia="仿宋_GB2312"/>
                <w:color w:val="000000" w:themeColor="text1"/>
                <w:sz w:val="20"/>
                <w:szCs w:val="20"/>
                <w14:textFill>
                  <w14:solidFill>
                    <w14:schemeClr w14:val="tx1"/>
                  </w14:solidFill>
                </w14:textFill>
              </w:rPr>
            </w:pPr>
          </w:p>
        </w:tc>
        <w:tc>
          <w:tcPr>
            <w:tcW w:w="1276" w:type="dxa"/>
            <w:vMerge w:val="continue"/>
            <w:vAlign w:val="center"/>
          </w:tcPr>
          <w:p>
            <w:pPr>
              <w:spacing w:line="320" w:lineRule="exact"/>
              <w:rPr>
                <w:rFonts w:ascii="仿宋_GB2312" w:hAnsi="宋体" w:eastAsia="仿宋_GB2312"/>
                <w:color w:val="000000" w:themeColor="text1"/>
                <w:sz w:val="20"/>
                <w:szCs w:val="20"/>
                <w14:textFill>
                  <w14:solidFill>
                    <w14:schemeClr w14:val="tx1"/>
                  </w14:solidFill>
                </w14:textFill>
              </w:rPr>
            </w:pPr>
          </w:p>
        </w:tc>
        <w:tc>
          <w:tcPr>
            <w:tcW w:w="731" w:type="dxa"/>
            <w:vMerge w:val="continue"/>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3522" w:type="dxa"/>
            <w:vAlign w:val="center"/>
          </w:tcPr>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 xml:space="preserve">指导学生在省级专业技能抽查或毕业设计抽查中达到合格标准且在全省同名专业中排名前10%的教研室主任加 </w:t>
            </w:r>
            <w:r>
              <w:rPr>
                <w:rFonts w:ascii="仿宋_GB2312" w:hAnsi="宋体" w:eastAsia="仿宋_GB2312"/>
                <w:color w:val="000000" w:themeColor="text1"/>
                <w:kern w:val="0"/>
                <w:sz w:val="20"/>
                <w:szCs w:val="20"/>
                <w14:textFill>
                  <w14:solidFill>
                    <w14:schemeClr w14:val="tx1"/>
                  </w14:solidFill>
                </w14:textFill>
              </w:rPr>
              <w:t>3</w:t>
            </w:r>
            <w:r>
              <w:rPr>
                <w:rFonts w:hint="eastAsia" w:ascii="仿宋_GB2312" w:hAnsi="宋体" w:eastAsia="仿宋_GB2312"/>
                <w:color w:val="000000" w:themeColor="text1"/>
                <w:kern w:val="0"/>
                <w:sz w:val="20"/>
                <w:szCs w:val="20"/>
                <w14:textFill>
                  <w14:solidFill>
                    <w14:schemeClr w14:val="tx1"/>
                  </w14:solidFill>
                </w14:textFill>
              </w:rPr>
              <w:t xml:space="preserve"> 分，教研室副主任加2分，指导团队成员各加</w:t>
            </w:r>
            <w:r>
              <w:rPr>
                <w:rFonts w:ascii="仿宋_GB2312" w:hAnsi="宋体" w:eastAsia="仿宋_GB2312"/>
                <w:color w:val="000000" w:themeColor="text1"/>
                <w:kern w:val="0"/>
                <w:sz w:val="20"/>
                <w:szCs w:val="20"/>
                <w14:textFill>
                  <w14:solidFill>
                    <w14:schemeClr w14:val="tx1"/>
                  </w14:solidFill>
                </w14:textFill>
              </w:rPr>
              <w:t>1</w:t>
            </w:r>
            <w:r>
              <w:rPr>
                <w:rFonts w:hint="eastAsia" w:ascii="仿宋_GB2312" w:hAnsi="宋体" w:eastAsia="仿宋_GB2312"/>
                <w:color w:val="000000" w:themeColor="text1"/>
                <w:kern w:val="0"/>
                <w:sz w:val="20"/>
                <w:szCs w:val="20"/>
                <w14:textFill>
                  <w14:solidFill>
                    <w14:schemeClr w14:val="tx1"/>
                  </w14:solidFill>
                </w14:textFill>
              </w:rPr>
              <w:t>分（抽查当年团队指导老师由各学院认定，教务处审核），教研室主任累计不超过</w:t>
            </w:r>
            <w:r>
              <w:rPr>
                <w:rFonts w:ascii="仿宋_GB2312" w:hAnsi="宋体" w:eastAsia="仿宋_GB2312"/>
                <w:color w:val="000000" w:themeColor="text1"/>
                <w:kern w:val="0"/>
                <w:sz w:val="20"/>
                <w:szCs w:val="20"/>
                <w14:textFill>
                  <w14:solidFill>
                    <w14:schemeClr w14:val="tx1"/>
                  </w14:solidFill>
                </w14:textFill>
              </w:rPr>
              <w:t>6</w:t>
            </w:r>
            <w:r>
              <w:rPr>
                <w:rFonts w:hint="eastAsia" w:ascii="仿宋_GB2312" w:hAnsi="宋体" w:eastAsia="仿宋_GB2312"/>
                <w:color w:val="000000" w:themeColor="text1"/>
                <w:kern w:val="0"/>
                <w:sz w:val="20"/>
                <w:szCs w:val="20"/>
                <w14:textFill>
                  <w14:solidFill>
                    <w14:schemeClr w14:val="tx1"/>
                  </w14:solidFill>
                </w14:textFill>
              </w:rPr>
              <w:t xml:space="preserve">分，副主任不超过4分，团队成员累计不超过 </w:t>
            </w:r>
            <w:r>
              <w:rPr>
                <w:rFonts w:ascii="仿宋_GB2312" w:hAnsi="宋体" w:eastAsia="仿宋_GB2312"/>
                <w:color w:val="000000" w:themeColor="text1"/>
                <w:kern w:val="0"/>
                <w:sz w:val="20"/>
                <w:szCs w:val="20"/>
                <w14:textFill>
                  <w14:solidFill>
                    <w14:schemeClr w14:val="tx1"/>
                  </w14:solidFill>
                </w14:textFill>
              </w:rPr>
              <w:t>2</w:t>
            </w:r>
            <w:r>
              <w:rPr>
                <w:rFonts w:hint="eastAsia" w:ascii="仿宋_GB2312" w:hAnsi="宋体" w:eastAsia="仿宋_GB2312"/>
                <w:color w:val="000000" w:themeColor="text1"/>
                <w:kern w:val="0"/>
                <w:sz w:val="20"/>
                <w:szCs w:val="20"/>
                <w14:textFill>
                  <w14:solidFill>
                    <w14:schemeClr w14:val="tx1"/>
                  </w14:solidFill>
                </w14:textFill>
              </w:rPr>
              <w:t xml:space="preserve"> 分。</w:t>
            </w:r>
          </w:p>
        </w:tc>
        <w:tc>
          <w:tcPr>
            <w:tcW w:w="4394"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专业技能抽查或毕业设计抽查的同时，对专业人才培养方案、专业技能考核标准及题库或毕业设计标准进行抽查的，人才培养方案未获评优秀的，不计分；相关标准抽查未达到优秀的，也不计分。</w:t>
            </w:r>
          </w:p>
        </w:tc>
        <w:tc>
          <w:tcPr>
            <w:tcW w:w="5439" w:type="dxa"/>
          </w:tcPr>
          <w:p>
            <w:pPr>
              <w:spacing w:line="320" w:lineRule="exact"/>
              <w:rPr>
                <w:rFonts w:ascii="宋体" w:hAnsi="宋体"/>
                <w:color w:val="000000" w:themeColor="text1"/>
                <w:szCs w:val="21"/>
                <w14:textFill>
                  <w14:solidFill>
                    <w14:schemeClr w14:val="tx1"/>
                  </w14:solidFill>
                </w14:textFill>
              </w:rPr>
            </w:pPr>
          </w:p>
        </w:tc>
        <w:tc>
          <w:tcPr>
            <w:tcW w:w="2292" w:type="dxa"/>
          </w:tcPr>
          <w:p>
            <w:pPr>
              <w:spacing w:line="320" w:lineRule="exact"/>
              <w:rPr>
                <w:rFonts w:ascii="宋体" w:hAnsi="宋体"/>
                <w:color w:val="000000" w:themeColor="text1"/>
                <w:szCs w:val="21"/>
                <w14:textFill>
                  <w14:solidFill>
                    <w14:schemeClr w14:val="tx1"/>
                  </w14:solidFill>
                </w14:textFill>
              </w:rPr>
            </w:pPr>
          </w:p>
        </w:tc>
        <w:tc>
          <w:tcPr>
            <w:tcW w:w="1226" w:type="dxa"/>
          </w:tcPr>
          <w:p>
            <w:pPr>
              <w:spacing w:line="320" w:lineRule="exact"/>
              <w:rPr>
                <w:rFonts w:ascii="宋体" w:hAnsi="宋体"/>
                <w:color w:val="000000" w:themeColor="text1"/>
                <w:szCs w:val="21"/>
                <w14:textFill>
                  <w14:solidFill>
                    <w14:schemeClr w14:val="tx1"/>
                  </w14:solidFill>
                </w14:textFill>
              </w:rPr>
            </w:pPr>
          </w:p>
        </w:tc>
        <w:tc>
          <w:tcPr>
            <w:tcW w:w="746" w:type="dxa"/>
          </w:tcPr>
          <w:p>
            <w:pPr>
              <w:spacing w:line="320" w:lineRule="exact"/>
              <w:rPr>
                <w:rFonts w:ascii="宋体" w:hAnsi="宋体"/>
                <w:color w:val="000000" w:themeColor="text1"/>
                <w:szCs w:val="21"/>
                <w14:textFill>
                  <w14:solidFill>
                    <w14:schemeClr w14:val="tx1"/>
                  </w14:solidFill>
                </w14:textFill>
              </w:rPr>
            </w:pP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1275" w:type="dxa"/>
            <w:vMerge w:val="continue"/>
            <w:vAlign w:val="center"/>
          </w:tcPr>
          <w:p>
            <w:pPr>
              <w:spacing w:line="320" w:lineRule="exact"/>
              <w:rPr>
                <w:rFonts w:ascii="仿宋_GB2312" w:hAnsi="宋体" w:eastAsia="仿宋_GB2312"/>
                <w:color w:val="000000" w:themeColor="text1"/>
                <w:sz w:val="20"/>
                <w:szCs w:val="20"/>
                <w14:textFill>
                  <w14:solidFill>
                    <w14:schemeClr w14:val="tx1"/>
                  </w14:solidFill>
                </w14:textFill>
              </w:rPr>
            </w:pPr>
          </w:p>
        </w:tc>
        <w:tc>
          <w:tcPr>
            <w:tcW w:w="1276" w:type="dxa"/>
            <w:vMerge w:val="continue"/>
            <w:vAlign w:val="center"/>
          </w:tcPr>
          <w:p>
            <w:pPr>
              <w:spacing w:line="320" w:lineRule="exact"/>
              <w:rPr>
                <w:rFonts w:ascii="仿宋_GB2312" w:hAnsi="宋体" w:eastAsia="仿宋_GB2312"/>
                <w:color w:val="000000" w:themeColor="text1"/>
                <w:sz w:val="20"/>
                <w:szCs w:val="20"/>
                <w14:textFill>
                  <w14:solidFill>
                    <w14:schemeClr w14:val="tx1"/>
                  </w14:solidFill>
                </w14:textFill>
              </w:rPr>
            </w:pPr>
          </w:p>
        </w:tc>
        <w:tc>
          <w:tcPr>
            <w:tcW w:w="731" w:type="dxa"/>
            <w:vMerge w:val="continue"/>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3522" w:type="dxa"/>
            <w:vAlign w:val="center"/>
          </w:tcPr>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1）指导学生参加国际体育运动竞赛（含世界运动会、项目锦标赛、项目冠军赛、大学生综合或单项比赛），获得团体前8名的项目教练员且排名第一、二、三、四、五的，分别计10、8、7、6、5分；取得个人前8名的项目教练员且排名第一、二的，分别计10、8分。</w:t>
            </w:r>
          </w:p>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2）指导学生参加全国体育运动竞赛（含全运会、项目锦标赛、项目冠军赛、大学生综合或单项比赛），获得团体前6名的项目教练员且排名第一、二、三的，分别计7、5、4分；取得个人前6名的项目教练员且排名第一的，计7分。</w:t>
            </w:r>
          </w:p>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3）指导学生参加全国体育运动竞赛（含省运会、项目锦标赛、项目冠军赛、大学生综合或单项比赛），获得团体前3名的项目教练员且排名第一、二的，分别计5、3分；取得个人前3名的项目教练员且排名第一的，计5分。</w:t>
            </w:r>
          </w:p>
        </w:tc>
        <w:tc>
          <w:tcPr>
            <w:tcW w:w="4394"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（1）带队教练的身份认定以相应比赛的秩序册和成绩册为准。</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（2）大学生运动会包括各单项大学生体育协会组织的正式竞赛。</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（3）同一比赛的单项有效名次取最高名次计分，不累加计分。</w:t>
            </w:r>
          </w:p>
          <w:p>
            <w:pPr>
              <w:widowControl/>
              <w:jc w:val="lef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（4）各级邀请赛和对抗赛等公益性质或商业性质比赛不计分。</w:t>
            </w:r>
          </w:p>
        </w:tc>
        <w:tc>
          <w:tcPr>
            <w:tcW w:w="5439" w:type="dxa"/>
          </w:tcPr>
          <w:p>
            <w:pPr>
              <w:spacing w:line="320" w:lineRule="exact"/>
              <w:rPr>
                <w:rFonts w:ascii="宋体" w:hAnsi="宋体"/>
                <w:color w:val="000000" w:themeColor="text1"/>
                <w:szCs w:val="21"/>
                <w14:textFill>
                  <w14:solidFill>
                    <w14:schemeClr w14:val="tx1"/>
                  </w14:solidFill>
                </w14:textFill>
              </w:rPr>
            </w:pPr>
          </w:p>
        </w:tc>
        <w:tc>
          <w:tcPr>
            <w:tcW w:w="2292" w:type="dxa"/>
          </w:tcPr>
          <w:p>
            <w:pPr>
              <w:spacing w:line="320" w:lineRule="exact"/>
              <w:rPr>
                <w:rFonts w:ascii="宋体" w:hAnsi="宋体"/>
                <w:color w:val="000000" w:themeColor="text1"/>
                <w:szCs w:val="21"/>
                <w14:textFill>
                  <w14:solidFill>
                    <w14:schemeClr w14:val="tx1"/>
                  </w14:solidFill>
                </w14:textFill>
              </w:rPr>
            </w:pPr>
          </w:p>
        </w:tc>
        <w:tc>
          <w:tcPr>
            <w:tcW w:w="1226" w:type="dxa"/>
          </w:tcPr>
          <w:p>
            <w:pPr>
              <w:spacing w:line="320" w:lineRule="exact"/>
              <w:rPr>
                <w:rFonts w:ascii="宋体" w:hAnsi="宋体"/>
                <w:color w:val="000000" w:themeColor="text1"/>
                <w:szCs w:val="21"/>
                <w14:textFill>
                  <w14:solidFill>
                    <w14:schemeClr w14:val="tx1"/>
                  </w14:solidFill>
                </w14:textFill>
              </w:rPr>
            </w:pPr>
          </w:p>
        </w:tc>
        <w:tc>
          <w:tcPr>
            <w:tcW w:w="746" w:type="dxa"/>
          </w:tcPr>
          <w:p>
            <w:pPr>
              <w:spacing w:line="320" w:lineRule="exact"/>
              <w:rPr>
                <w:rFonts w:ascii="宋体" w:hAnsi="宋体"/>
                <w:color w:val="000000" w:themeColor="text1"/>
                <w:szCs w:val="21"/>
                <w14:textFill>
                  <w14:solidFill>
                    <w14:schemeClr w14:val="tx1"/>
                  </w14:solidFill>
                </w14:textFill>
              </w:rPr>
            </w:pP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spacing w:line="320" w:lineRule="exact"/>
              <w:jc w:val="center"/>
              <w:rPr>
                <w:rFonts w:ascii="宋体" w:hAnsi="宋体"/>
                <w:color w:val="000000" w:themeColor="text1"/>
                <w:szCs w:val="21"/>
                <w14:textFill>
                  <w14:solidFill>
                    <w14:schemeClr w14:val="tx1"/>
                  </w14:solidFill>
                </w14:textFill>
              </w:rPr>
            </w:pPr>
          </w:p>
        </w:tc>
        <w:tc>
          <w:tcPr>
            <w:tcW w:w="1275" w:type="dxa"/>
            <w:vMerge w:val="continue"/>
            <w:vAlign w:val="center"/>
          </w:tcPr>
          <w:p>
            <w:pPr>
              <w:spacing w:line="320" w:lineRule="exact"/>
              <w:jc w:val="center"/>
              <w:rPr>
                <w:rFonts w:ascii="宋体" w:hAnsi="宋体"/>
                <w:color w:val="000000" w:themeColor="text1"/>
                <w:szCs w:val="21"/>
                <w14:textFill>
                  <w14:solidFill>
                    <w14:schemeClr w14:val="tx1"/>
                  </w14:solidFill>
                </w14:textFill>
              </w:rPr>
            </w:pPr>
          </w:p>
        </w:tc>
        <w:tc>
          <w:tcPr>
            <w:tcW w:w="1276"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主持或参与相关教学、教改等团体、个人项目</w:t>
            </w:r>
          </w:p>
        </w:tc>
        <w:tc>
          <w:tcPr>
            <w:tcW w:w="731" w:type="dxa"/>
            <w:vMerge w:val="restart"/>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4</w:t>
            </w:r>
            <w:r>
              <w:rPr>
                <w:rFonts w:ascii="仿宋_GB2312" w:hAnsi="宋体" w:eastAsia="仿宋_GB2312"/>
                <w:color w:val="000000" w:themeColor="text1"/>
                <w:sz w:val="20"/>
                <w:szCs w:val="20"/>
                <w14:textFill>
                  <w14:solidFill>
                    <w14:schemeClr w14:val="tx1"/>
                  </w14:solidFill>
                </w14:textFill>
              </w:rPr>
              <w:t>5</w:t>
            </w:r>
          </w:p>
        </w:tc>
        <w:tc>
          <w:tcPr>
            <w:tcW w:w="3522" w:type="dxa"/>
            <w:vAlign w:val="center"/>
          </w:tcPr>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（1）主持综合性团体项目国家级计</w:t>
            </w:r>
            <w:r>
              <w:rPr>
                <w:rFonts w:ascii="仿宋_GB2312" w:hAnsi="宋体" w:eastAsia="仿宋_GB2312"/>
                <w:color w:val="000000" w:themeColor="text1"/>
                <w:kern w:val="0"/>
                <w:sz w:val="20"/>
                <w:szCs w:val="20"/>
                <w14:textFill>
                  <w14:solidFill>
                    <w14:schemeClr w14:val="tx1"/>
                  </w14:solidFill>
                </w14:textFill>
              </w:rPr>
              <w:t>30</w:t>
            </w:r>
            <w:r>
              <w:rPr>
                <w:rFonts w:hint="eastAsia" w:ascii="仿宋_GB2312" w:hAnsi="宋体" w:eastAsia="仿宋_GB2312"/>
                <w:color w:val="000000" w:themeColor="text1"/>
                <w:kern w:val="0"/>
                <w:sz w:val="20"/>
                <w:szCs w:val="20"/>
                <w14:textFill>
                  <w14:solidFill>
                    <w14:schemeClr w14:val="tx1"/>
                  </w14:solidFill>
                </w14:textFill>
              </w:rPr>
              <w:t>分，第二至六名依次计20、</w:t>
            </w:r>
            <w:r>
              <w:rPr>
                <w:rFonts w:ascii="仿宋_GB2312" w:hAnsi="宋体" w:eastAsia="仿宋_GB2312"/>
                <w:color w:val="000000" w:themeColor="text1"/>
                <w:kern w:val="0"/>
                <w:sz w:val="20"/>
                <w:szCs w:val="20"/>
                <w14:textFill>
                  <w14:solidFill>
                    <w14:schemeClr w14:val="tx1"/>
                  </w14:solidFill>
                </w14:textFill>
              </w:rPr>
              <w:t>18</w:t>
            </w: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16、14、12、</w:t>
            </w:r>
            <w:r>
              <w:rPr>
                <w:rFonts w:hint="eastAsia" w:ascii="仿宋_GB2312" w:hAnsi="宋体" w:eastAsia="仿宋_GB2312"/>
                <w:color w:val="000000" w:themeColor="text1"/>
                <w:kern w:val="0"/>
                <w:sz w:val="20"/>
                <w:szCs w:val="20"/>
                <w14:textFill>
                  <w14:solidFill>
                    <w14:schemeClr w14:val="tx1"/>
                  </w14:solidFill>
                </w14:textFill>
              </w:rPr>
              <w:t>10分，第七至十五名计</w:t>
            </w:r>
            <w:r>
              <w:rPr>
                <w:rFonts w:ascii="仿宋_GB2312" w:hAnsi="宋体" w:eastAsia="仿宋_GB2312"/>
                <w:color w:val="000000" w:themeColor="text1"/>
                <w:kern w:val="0"/>
                <w:sz w:val="20"/>
                <w:szCs w:val="20"/>
                <w14:textFill>
                  <w14:solidFill>
                    <w14:schemeClr w14:val="tx1"/>
                  </w14:solidFill>
                </w14:textFill>
              </w:rPr>
              <w:t>4</w:t>
            </w:r>
            <w:r>
              <w:rPr>
                <w:rFonts w:hint="eastAsia" w:ascii="仿宋_GB2312" w:hAnsi="宋体" w:eastAsia="仿宋_GB2312"/>
                <w:color w:val="000000" w:themeColor="text1"/>
                <w:kern w:val="0"/>
                <w:sz w:val="20"/>
                <w:szCs w:val="20"/>
                <w14:textFill>
                  <w14:solidFill>
                    <w14:schemeClr w14:val="tx1"/>
                  </w14:solidFill>
                </w14:textFill>
              </w:rPr>
              <w:t>分；主持单一性团体项目国家级计</w:t>
            </w:r>
            <w:r>
              <w:rPr>
                <w:rFonts w:ascii="仿宋_GB2312" w:hAnsi="宋体" w:eastAsia="仿宋_GB2312"/>
                <w:color w:val="000000" w:themeColor="text1"/>
                <w:kern w:val="0"/>
                <w:sz w:val="20"/>
                <w:szCs w:val="20"/>
                <w14:textFill>
                  <w14:solidFill>
                    <w14:schemeClr w14:val="tx1"/>
                  </w14:solidFill>
                </w14:textFill>
              </w:rPr>
              <w:t>20</w:t>
            </w:r>
            <w:r>
              <w:rPr>
                <w:rFonts w:hint="eastAsia" w:ascii="仿宋_GB2312" w:hAnsi="宋体" w:eastAsia="仿宋_GB2312"/>
                <w:color w:val="000000" w:themeColor="text1"/>
                <w:kern w:val="0"/>
                <w:sz w:val="20"/>
                <w:szCs w:val="20"/>
                <w14:textFill>
                  <w14:solidFill>
                    <w14:schemeClr w14:val="tx1"/>
                  </w14:solidFill>
                </w14:textFill>
              </w:rPr>
              <w:t>分，第二至六名依次计1</w:t>
            </w:r>
            <w:r>
              <w:rPr>
                <w:rFonts w:ascii="仿宋_GB2312" w:hAnsi="宋体" w:eastAsia="仿宋_GB2312"/>
                <w:color w:val="000000" w:themeColor="text1"/>
                <w:kern w:val="0"/>
                <w:sz w:val="20"/>
                <w:szCs w:val="20"/>
                <w14:textFill>
                  <w14:solidFill>
                    <w14:schemeClr w14:val="tx1"/>
                  </w14:solidFill>
                </w14:textFill>
              </w:rPr>
              <w:t>2</w:t>
            </w: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10</w:t>
            </w: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8</w:t>
            </w: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6</w:t>
            </w: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4</w:t>
            </w:r>
            <w:r>
              <w:rPr>
                <w:rFonts w:hint="eastAsia" w:ascii="仿宋_GB2312" w:hAnsi="宋体" w:eastAsia="仿宋_GB2312"/>
                <w:color w:val="000000" w:themeColor="text1"/>
                <w:kern w:val="0"/>
                <w:sz w:val="20"/>
                <w:szCs w:val="20"/>
                <w14:textFill>
                  <w14:solidFill>
                    <w14:schemeClr w14:val="tx1"/>
                  </w14:solidFill>
                </w14:textFill>
              </w:rPr>
              <w:t>分，第七至十名计</w:t>
            </w:r>
            <w:r>
              <w:rPr>
                <w:rFonts w:ascii="仿宋_GB2312" w:hAnsi="宋体" w:eastAsia="仿宋_GB2312"/>
                <w:color w:val="000000" w:themeColor="text1"/>
                <w:kern w:val="0"/>
                <w:sz w:val="20"/>
                <w:szCs w:val="20"/>
                <w14:textFill>
                  <w14:solidFill>
                    <w14:schemeClr w14:val="tx1"/>
                  </w14:solidFill>
                </w14:textFill>
              </w:rPr>
              <w:t>2</w:t>
            </w:r>
            <w:r>
              <w:rPr>
                <w:rFonts w:hint="eastAsia" w:ascii="仿宋_GB2312" w:hAnsi="宋体" w:eastAsia="仿宋_GB2312"/>
                <w:color w:val="000000" w:themeColor="text1"/>
                <w:kern w:val="0"/>
                <w:sz w:val="20"/>
                <w:szCs w:val="20"/>
                <w14:textFill>
                  <w14:solidFill>
                    <w14:schemeClr w14:val="tx1"/>
                  </w14:solidFill>
                </w14:textFill>
              </w:rPr>
              <w:t>分。</w:t>
            </w:r>
          </w:p>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（2）主持综合性团体项目省（部）级计</w:t>
            </w:r>
            <w:r>
              <w:rPr>
                <w:rFonts w:ascii="仿宋_GB2312" w:hAnsi="宋体" w:eastAsia="仿宋_GB2312"/>
                <w:color w:val="000000" w:themeColor="text1"/>
                <w:kern w:val="0"/>
                <w:sz w:val="20"/>
                <w:szCs w:val="20"/>
                <w14:textFill>
                  <w14:solidFill>
                    <w14:schemeClr w14:val="tx1"/>
                  </w14:solidFill>
                </w14:textFill>
              </w:rPr>
              <w:t>20</w:t>
            </w:r>
            <w:r>
              <w:rPr>
                <w:rFonts w:hint="eastAsia" w:ascii="仿宋_GB2312" w:hAnsi="宋体" w:eastAsia="仿宋_GB2312"/>
                <w:color w:val="000000" w:themeColor="text1"/>
                <w:kern w:val="0"/>
                <w:sz w:val="20"/>
                <w:szCs w:val="20"/>
                <w14:textFill>
                  <w14:solidFill>
                    <w14:schemeClr w14:val="tx1"/>
                  </w14:solidFill>
                </w14:textFill>
              </w:rPr>
              <w:t>分，第二至六名依次计1</w:t>
            </w:r>
            <w:r>
              <w:rPr>
                <w:rFonts w:ascii="仿宋_GB2312" w:hAnsi="宋体" w:eastAsia="仿宋_GB2312"/>
                <w:color w:val="000000" w:themeColor="text1"/>
                <w:kern w:val="0"/>
                <w:sz w:val="20"/>
                <w:szCs w:val="20"/>
                <w14:textFill>
                  <w14:solidFill>
                    <w14:schemeClr w14:val="tx1"/>
                  </w14:solidFill>
                </w14:textFill>
              </w:rPr>
              <w:t>2</w:t>
            </w: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10</w:t>
            </w: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8</w:t>
            </w: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6</w:t>
            </w: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4</w:t>
            </w:r>
            <w:r>
              <w:rPr>
                <w:rFonts w:hint="eastAsia" w:ascii="仿宋_GB2312" w:hAnsi="宋体" w:eastAsia="仿宋_GB2312"/>
                <w:color w:val="000000" w:themeColor="text1"/>
                <w:kern w:val="0"/>
                <w:sz w:val="20"/>
                <w:szCs w:val="20"/>
                <w14:textFill>
                  <w14:solidFill>
                    <w14:schemeClr w14:val="tx1"/>
                  </w14:solidFill>
                </w14:textFill>
              </w:rPr>
              <w:t>分，第七至十五名计</w:t>
            </w:r>
            <w:r>
              <w:rPr>
                <w:rFonts w:ascii="仿宋_GB2312" w:hAnsi="宋体" w:eastAsia="仿宋_GB2312"/>
                <w:color w:val="000000" w:themeColor="text1"/>
                <w:kern w:val="0"/>
                <w:sz w:val="20"/>
                <w:szCs w:val="20"/>
                <w14:textFill>
                  <w14:solidFill>
                    <w14:schemeClr w14:val="tx1"/>
                  </w14:solidFill>
                </w14:textFill>
              </w:rPr>
              <w:t>2</w:t>
            </w:r>
            <w:r>
              <w:rPr>
                <w:rFonts w:hint="eastAsia" w:ascii="仿宋_GB2312" w:hAnsi="宋体" w:eastAsia="仿宋_GB2312"/>
                <w:color w:val="000000" w:themeColor="text1"/>
                <w:kern w:val="0"/>
                <w:sz w:val="20"/>
                <w:szCs w:val="20"/>
                <w14:textFill>
                  <w14:solidFill>
                    <w14:schemeClr w14:val="tx1"/>
                  </w14:solidFill>
                </w14:textFill>
              </w:rPr>
              <w:t>分；主持单一性团体项目省（部）级计</w:t>
            </w:r>
            <w:r>
              <w:rPr>
                <w:rFonts w:ascii="仿宋_GB2312" w:hAnsi="宋体" w:eastAsia="仿宋_GB2312"/>
                <w:color w:val="000000" w:themeColor="text1"/>
                <w:kern w:val="0"/>
                <w:sz w:val="20"/>
                <w:szCs w:val="20"/>
                <w14:textFill>
                  <w14:solidFill>
                    <w14:schemeClr w14:val="tx1"/>
                  </w14:solidFill>
                </w14:textFill>
              </w:rPr>
              <w:t>10</w:t>
            </w:r>
            <w:r>
              <w:rPr>
                <w:rFonts w:hint="eastAsia" w:ascii="仿宋_GB2312" w:hAnsi="宋体" w:eastAsia="仿宋_GB2312"/>
                <w:color w:val="000000" w:themeColor="text1"/>
                <w:kern w:val="0"/>
                <w:sz w:val="20"/>
                <w:szCs w:val="20"/>
                <w14:textFill>
                  <w14:solidFill>
                    <w14:schemeClr w14:val="tx1"/>
                  </w14:solidFill>
                </w14:textFill>
              </w:rPr>
              <w:t>分，第二至四名依次计6、</w:t>
            </w:r>
            <w:r>
              <w:rPr>
                <w:rFonts w:ascii="仿宋_GB2312" w:hAnsi="宋体" w:eastAsia="仿宋_GB2312"/>
                <w:color w:val="000000" w:themeColor="text1"/>
                <w:kern w:val="0"/>
                <w:sz w:val="20"/>
                <w:szCs w:val="20"/>
                <w14:textFill>
                  <w14:solidFill>
                    <w14:schemeClr w14:val="tx1"/>
                  </w14:solidFill>
                </w14:textFill>
              </w:rPr>
              <w:t>4</w:t>
            </w: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2</w:t>
            </w:r>
            <w:r>
              <w:rPr>
                <w:rFonts w:hint="eastAsia" w:ascii="仿宋_GB2312" w:hAnsi="宋体" w:eastAsia="仿宋_GB2312"/>
                <w:color w:val="000000" w:themeColor="text1"/>
                <w:kern w:val="0"/>
                <w:sz w:val="20"/>
                <w:szCs w:val="20"/>
                <w14:textFill>
                  <w14:solidFill>
                    <w14:schemeClr w14:val="tx1"/>
                  </w14:solidFill>
                </w14:textFill>
              </w:rPr>
              <w:t>分，</w:t>
            </w:r>
            <w:r>
              <w:rPr>
                <w:rFonts w:ascii="仿宋_GB2312" w:hAnsi="宋体" w:eastAsia="仿宋_GB2312"/>
                <w:color w:val="000000" w:themeColor="text1"/>
                <w:kern w:val="0"/>
                <w:sz w:val="20"/>
                <w:szCs w:val="20"/>
                <w14:textFill>
                  <w14:solidFill>
                    <w14:schemeClr w14:val="tx1"/>
                  </w14:solidFill>
                </w14:textFill>
              </w:rPr>
              <w:t>第</w:t>
            </w:r>
            <w:r>
              <w:rPr>
                <w:rFonts w:hint="eastAsia" w:ascii="仿宋_GB2312" w:hAnsi="宋体" w:eastAsia="仿宋_GB2312"/>
                <w:color w:val="000000" w:themeColor="text1"/>
                <w:kern w:val="0"/>
                <w:sz w:val="20"/>
                <w:szCs w:val="20"/>
                <w14:textFill>
                  <w14:solidFill>
                    <w14:schemeClr w14:val="tx1"/>
                  </w14:solidFill>
                </w14:textFill>
              </w:rPr>
              <w:t>五</w:t>
            </w:r>
            <w:r>
              <w:rPr>
                <w:rFonts w:ascii="仿宋_GB2312" w:hAnsi="宋体" w:eastAsia="仿宋_GB2312"/>
                <w:color w:val="000000" w:themeColor="text1"/>
                <w:kern w:val="0"/>
                <w:sz w:val="20"/>
                <w:szCs w:val="20"/>
                <w14:textFill>
                  <w14:solidFill>
                    <w14:schemeClr w14:val="tx1"/>
                  </w14:solidFill>
                </w14:textFill>
              </w:rPr>
              <w:t>到十名计1</w:t>
            </w:r>
            <w:r>
              <w:rPr>
                <w:rFonts w:hint="eastAsia" w:ascii="仿宋_GB2312" w:hAnsi="宋体" w:eastAsia="仿宋_GB2312"/>
                <w:color w:val="000000" w:themeColor="text1"/>
                <w:kern w:val="0"/>
                <w:sz w:val="20"/>
                <w:szCs w:val="20"/>
                <w14:textFill>
                  <w14:solidFill>
                    <w14:schemeClr w14:val="tx1"/>
                  </w14:solidFill>
                </w14:textFill>
              </w:rPr>
              <w:t>分。</w:t>
            </w:r>
          </w:p>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（3）主持个人项目国家级计10分，省（部）级计6分。</w:t>
            </w:r>
          </w:p>
          <w:p>
            <w:pPr>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ascii="仿宋_GB2312" w:hAnsi="宋体" w:eastAsia="仿宋_GB2312"/>
                <w:color w:val="000000" w:themeColor="text1"/>
                <w:kern w:val="0"/>
                <w:sz w:val="20"/>
                <w:szCs w:val="20"/>
                <w14:textFill>
                  <w14:solidFill>
                    <w14:schemeClr w14:val="tx1"/>
                  </w14:solidFill>
                </w14:textFill>
              </w:rPr>
              <w:t>（</w:t>
            </w:r>
            <w:r>
              <w:rPr>
                <w:rFonts w:hint="eastAsia" w:ascii="仿宋_GB2312" w:hAnsi="宋体" w:eastAsia="仿宋_GB2312"/>
                <w:color w:val="000000" w:themeColor="text1"/>
                <w:kern w:val="0"/>
                <w:sz w:val="20"/>
                <w:szCs w:val="20"/>
                <w14:textFill>
                  <w14:solidFill>
                    <w14:schemeClr w14:val="tx1"/>
                  </w14:solidFill>
                </w14:textFill>
              </w:rPr>
              <w:t>4</w:t>
            </w:r>
            <w:r>
              <w:rPr>
                <w:rFonts w:ascii="仿宋_GB2312" w:hAnsi="宋体" w:eastAsia="仿宋_GB2312"/>
                <w:color w:val="000000" w:themeColor="text1"/>
                <w:kern w:val="0"/>
                <w:sz w:val="20"/>
                <w:szCs w:val="20"/>
                <w14:textFill>
                  <w14:solidFill>
                    <w14:schemeClr w14:val="tx1"/>
                  </w14:solidFill>
                </w14:textFill>
              </w:rPr>
              <w:t>）</w:t>
            </w:r>
            <w:r>
              <w:rPr>
                <w:rFonts w:hint="eastAsia" w:ascii="仿宋_GB2312" w:hAnsi="宋体" w:eastAsia="仿宋_GB2312"/>
                <w:color w:val="000000" w:themeColor="text1"/>
                <w:kern w:val="0"/>
                <w:sz w:val="20"/>
                <w:szCs w:val="20"/>
                <w14:textFill>
                  <w14:solidFill>
                    <w14:schemeClr w14:val="tx1"/>
                  </w14:solidFill>
                </w14:textFill>
              </w:rPr>
              <w:t>教育行政部门</w:t>
            </w:r>
            <w:r>
              <w:rPr>
                <w:rFonts w:ascii="仿宋_GB2312" w:hAnsi="宋体" w:eastAsia="仿宋_GB2312"/>
                <w:color w:val="000000" w:themeColor="text1"/>
                <w:kern w:val="0"/>
                <w:sz w:val="20"/>
                <w:szCs w:val="20"/>
                <w14:textFill>
                  <w14:solidFill>
                    <w14:schemeClr w14:val="tx1"/>
                  </w14:solidFill>
                </w14:textFill>
              </w:rPr>
              <w:t>的文件中明确到个人的被采纳案例，</w:t>
            </w:r>
            <w:r>
              <w:rPr>
                <w:rFonts w:hint="eastAsia" w:ascii="仿宋_GB2312" w:hAnsi="宋体" w:eastAsia="仿宋_GB2312"/>
                <w:color w:val="000000" w:themeColor="text1"/>
                <w:kern w:val="0"/>
                <w:sz w:val="20"/>
                <w:szCs w:val="20"/>
                <w14:textFill>
                  <w14:solidFill>
                    <w14:schemeClr w14:val="tx1"/>
                  </w14:solidFill>
                </w14:textFill>
              </w:rPr>
              <w:t>国家级加2分、省（部）级的加1分。</w:t>
            </w:r>
          </w:p>
        </w:tc>
        <w:tc>
          <w:tcPr>
            <w:tcW w:w="4394" w:type="dxa"/>
            <w:vAlign w:val="center"/>
          </w:tcPr>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（1）综合性项目是指</w:t>
            </w:r>
            <w:r>
              <w:rPr>
                <w:rFonts w:ascii="仿宋_GB2312" w:hAnsi="宋体" w:eastAsia="仿宋_GB2312"/>
                <w:color w:val="000000" w:themeColor="text1"/>
                <w:sz w:val="20"/>
                <w:szCs w:val="20"/>
                <w14:textFill>
                  <w14:solidFill>
                    <w14:schemeClr w14:val="tx1"/>
                  </w14:solidFill>
                </w14:textFill>
              </w:rPr>
              <w:t>需要多个专业（群）</w:t>
            </w:r>
            <w:r>
              <w:rPr>
                <w:rFonts w:hint="eastAsia" w:ascii="仿宋_GB2312" w:hAnsi="宋体" w:eastAsia="仿宋_GB2312"/>
                <w:color w:val="000000" w:themeColor="text1"/>
                <w:sz w:val="20"/>
                <w:szCs w:val="20"/>
                <w14:textFill>
                  <w14:solidFill>
                    <w14:schemeClr w14:val="tx1"/>
                  </w14:solidFill>
                </w14:textFill>
              </w:rPr>
              <w:t>、多门课程或多个事项共同</w:t>
            </w:r>
            <w:r>
              <w:rPr>
                <w:rFonts w:ascii="仿宋_GB2312" w:hAnsi="宋体" w:eastAsia="仿宋_GB2312"/>
                <w:color w:val="000000" w:themeColor="text1"/>
                <w:sz w:val="20"/>
                <w:szCs w:val="20"/>
                <w14:textFill>
                  <w14:solidFill>
                    <w14:schemeClr w14:val="tx1"/>
                  </w14:solidFill>
                </w14:textFill>
              </w:rPr>
              <w:t>推进的项目，如：</w:t>
            </w:r>
            <w:r>
              <w:rPr>
                <w:rFonts w:hint="eastAsia" w:ascii="仿宋_GB2312" w:hAnsi="宋体" w:eastAsia="仿宋_GB2312"/>
                <w:color w:val="000000" w:themeColor="text1"/>
                <w:sz w:val="20"/>
                <w:szCs w:val="20"/>
                <w14:textFill>
                  <w14:solidFill>
                    <w14:schemeClr w14:val="tx1"/>
                  </w14:solidFill>
                </w14:textFill>
              </w:rPr>
              <w:t>学院建设、学科建设、专业（群）建设、专业教学团体、“1+X”证书试点校、示范性职教集团、教学资源库等项目，单一性项目是指单一课程或单一事项</w:t>
            </w:r>
            <w:r>
              <w:rPr>
                <w:rFonts w:ascii="仿宋_GB2312" w:hAnsi="宋体" w:eastAsia="仿宋_GB2312"/>
                <w:color w:val="000000" w:themeColor="text1"/>
                <w:sz w:val="20"/>
                <w:szCs w:val="20"/>
                <w14:textFill>
                  <w14:solidFill>
                    <w14:schemeClr w14:val="tx1"/>
                  </w14:solidFill>
                </w14:textFill>
              </w:rPr>
              <w:t>的项目，如：</w:t>
            </w:r>
            <w:r>
              <w:rPr>
                <w:rFonts w:hint="eastAsia" w:ascii="仿宋_GB2312" w:hAnsi="宋体" w:eastAsia="仿宋_GB2312"/>
                <w:color w:val="000000" w:themeColor="text1"/>
                <w:sz w:val="20"/>
                <w:szCs w:val="20"/>
                <w14:textFill>
                  <w14:solidFill>
                    <w14:schemeClr w14:val="tx1"/>
                  </w14:solidFill>
                </w14:textFill>
              </w:rPr>
              <w:t>课程建设、实验室（实习训室）建设、实习实训（教师认证）基地、省名师空间课堂、学生专业技能抽查标准开发、创新创业、信息化应用等项目。</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（2）本项目立项按5</w:t>
            </w:r>
            <w:r>
              <w:rPr>
                <w:rFonts w:ascii="仿宋_GB2312" w:hAnsi="宋体" w:eastAsia="仿宋_GB2312"/>
                <w:color w:val="000000" w:themeColor="text1"/>
                <w:sz w:val="20"/>
                <w:szCs w:val="20"/>
                <w14:textFill>
                  <w14:solidFill>
                    <w14:schemeClr w14:val="tx1"/>
                  </w14:solidFill>
                </w14:textFill>
              </w:rPr>
              <w:t>0</w:t>
            </w:r>
            <w:r>
              <w:rPr>
                <w:rFonts w:hint="eastAsia" w:ascii="仿宋_GB2312" w:hAnsi="宋体" w:eastAsia="仿宋_GB2312"/>
                <w:color w:val="000000" w:themeColor="text1"/>
                <w:sz w:val="20"/>
                <w:szCs w:val="20"/>
                <w14:textFill>
                  <w14:solidFill>
                    <w14:schemeClr w14:val="tx1"/>
                  </w14:solidFill>
                </w14:textFill>
              </w:rPr>
              <w:t>%计分，结项按1</w:t>
            </w:r>
            <w:r>
              <w:rPr>
                <w:rFonts w:ascii="仿宋_GB2312" w:hAnsi="宋体" w:eastAsia="仿宋_GB2312"/>
                <w:color w:val="000000" w:themeColor="text1"/>
                <w:sz w:val="20"/>
                <w:szCs w:val="20"/>
                <w14:textFill>
                  <w14:solidFill>
                    <w14:schemeClr w14:val="tx1"/>
                  </w14:solidFill>
                </w14:textFill>
              </w:rPr>
              <w:t>00</w:t>
            </w:r>
            <w:r>
              <w:rPr>
                <w:rFonts w:hint="eastAsia" w:ascii="仿宋_GB2312" w:hAnsi="宋体" w:eastAsia="仿宋_GB2312"/>
                <w:color w:val="000000" w:themeColor="text1"/>
                <w:sz w:val="20"/>
                <w:szCs w:val="20"/>
                <w14:textFill>
                  <w14:solidFill>
                    <w14:schemeClr w14:val="tx1"/>
                  </w14:solidFill>
                </w14:textFill>
              </w:rPr>
              <w:t>%计分；建设期满</w:t>
            </w:r>
            <w:r>
              <w:rPr>
                <w:rFonts w:ascii="仿宋_GB2312" w:hAnsi="宋体" w:eastAsia="仿宋_GB2312"/>
                <w:color w:val="000000" w:themeColor="text1"/>
                <w:sz w:val="20"/>
                <w:szCs w:val="20"/>
                <w14:textFill>
                  <w14:solidFill>
                    <w14:schemeClr w14:val="tx1"/>
                  </w14:solidFill>
                </w14:textFill>
              </w:rPr>
              <w:t>2</w:t>
            </w:r>
            <w:r>
              <w:rPr>
                <w:rFonts w:hint="eastAsia" w:ascii="仿宋_GB2312" w:hAnsi="宋体" w:eastAsia="仿宋_GB2312"/>
                <w:color w:val="000000" w:themeColor="text1"/>
                <w:sz w:val="20"/>
                <w:szCs w:val="20"/>
                <w14:textFill>
                  <w14:solidFill>
                    <w14:schemeClr w14:val="tx1"/>
                  </w14:solidFill>
                </w14:textFill>
              </w:rPr>
              <w:t>年后，项目来源部门没有要求结项，又未被项目来源部门取消的，则视同结项。</w:t>
            </w:r>
          </w:p>
          <w:p>
            <w:pPr>
              <w:spacing w:line="320" w:lineRule="exact"/>
              <w:rPr>
                <w:rFonts w:ascii="仿宋_GB2312" w:hAnsi="宋体" w:eastAsia="仿宋_GB2312"/>
                <w:color w:val="000000" w:themeColor="text1"/>
                <w:sz w:val="20"/>
                <w:szCs w:val="20"/>
                <w14:textFill>
                  <w14:solidFill>
                    <w14:schemeClr w14:val="tx1"/>
                  </w14:solidFill>
                </w14:textFill>
              </w:rPr>
            </w:pPr>
            <w:r>
              <w:rPr>
                <w:rFonts w:ascii="仿宋_GB2312" w:hAnsi="宋体" w:eastAsia="仿宋_GB2312"/>
                <w:color w:val="000000" w:themeColor="text1"/>
                <w:sz w:val="20"/>
                <w:szCs w:val="20"/>
                <w14:textFill>
                  <w14:solidFill>
                    <w14:schemeClr w14:val="tx1"/>
                  </w14:solidFill>
                </w14:textFill>
              </w:rPr>
              <w:t>（</w:t>
            </w:r>
            <w:r>
              <w:rPr>
                <w:rFonts w:hint="eastAsia" w:ascii="仿宋_GB2312" w:hAnsi="宋体" w:eastAsia="仿宋_GB2312"/>
                <w:color w:val="000000" w:themeColor="text1"/>
                <w:sz w:val="20"/>
                <w:szCs w:val="20"/>
                <w14:textFill>
                  <w14:solidFill>
                    <w14:schemeClr w14:val="tx1"/>
                  </w14:solidFill>
                </w14:textFill>
              </w:rPr>
              <w:t>3</w:t>
            </w:r>
            <w:r>
              <w:rPr>
                <w:rFonts w:ascii="仿宋_GB2312" w:hAnsi="宋体" w:eastAsia="仿宋_GB2312"/>
                <w:color w:val="000000" w:themeColor="text1"/>
                <w:sz w:val="20"/>
                <w:szCs w:val="20"/>
                <w14:textFill>
                  <w14:solidFill>
                    <w14:schemeClr w14:val="tx1"/>
                  </w14:solidFill>
                </w14:textFill>
              </w:rPr>
              <w:t>）有子项目单独立项的大项目，</w:t>
            </w:r>
            <w:r>
              <w:rPr>
                <w:rFonts w:hint="eastAsia" w:ascii="仿宋_GB2312" w:hAnsi="宋体" w:eastAsia="仿宋_GB2312"/>
                <w:color w:val="000000" w:themeColor="text1"/>
                <w:sz w:val="20"/>
                <w:szCs w:val="20"/>
                <w14:textFill>
                  <w14:solidFill>
                    <w14:schemeClr w14:val="tx1"/>
                  </w14:solidFill>
                </w14:textFill>
              </w:rPr>
              <w:t>子</w:t>
            </w:r>
            <w:r>
              <w:rPr>
                <w:rFonts w:ascii="仿宋_GB2312" w:hAnsi="宋体" w:eastAsia="仿宋_GB2312"/>
                <w:color w:val="000000" w:themeColor="text1"/>
                <w:sz w:val="20"/>
                <w:szCs w:val="20"/>
                <w14:textFill>
                  <w14:solidFill>
                    <w14:schemeClr w14:val="tx1"/>
                  </w14:solidFill>
                </w14:textFill>
              </w:rPr>
              <w:t>项目成员在大项目中不重复计分。</w:t>
            </w:r>
          </w:p>
          <w:p>
            <w:pPr>
              <w:spacing w:line="320" w:lineRule="exact"/>
              <w:rPr>
                <w:rFonts w:ascii="仿宋_GB2312" w:hAnsi="宋体" w:eastAsia="仿宋_GB2312"/>
                <w:color w:val="000000" w:themeColor="text1"/>
                <w:sz w:val="20"/>
                <w:szCs w:val="20"/>
                <w14:textFill>
                  <w14:solidFill>
                    <w14:schemeClr w14:val="tx1"/>
                  </w14:solidFill>
                </w14:textFill>
              </w:rPr>
            </w:pPr>
            <w:r>
              <w:rPr>
                <w:rFonts w:ascii="仿宋_GB2312" w:hAnsi="宋体" w:eastAsia="仿宋_GB2312"/>
                <w:color w:val="000000" w:themeColor="text1"/>
                <w:sz w:val="20"/>
                <w:szCs w:val="20"/>
                <w14:textFill>
                  <w14:solidFill>
                    <w14:schemeClr w14:val="tx1"/>
                  </w14:solidFill>
                </w14:textFill>
              </w:rPr>
              <w:t>（</w:t>
            </w:r>
            <w:r>
              <w:rPr>
                <w:rFonts w:hint="eastAsia" w:ascii="仿宋_GB2312" w:hAnsi="宋体" w:eastAsia="仿宋_GB2312"/>
                <w:color w:val="000000" w:themeColor="text1"/>
                <w:sz w:val="20"/>
                <w:szCs w:val="20"/>
                <w14:textFill>
                  <w14:solidFill>
                    <w14:schemeClr w14:val="tx1"/>
                  </w14:solidFill>
                </w14:textFill>
              </w:rPr>
              <w:t>4）财政拨款（无明确拨款，则取项目预算经费的三分之一）国家级100万以下、省级10万以下的减半加分。</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w:t>
            </w:r>
            <w:r>
              <w:rPr>
                <w:rFonts w:ascii="仿宋_GB2312" w:hAnsi="宋体" w:eastAsia="仿宋_GB2312"/>
                <w:color w:val="000000" w:themeColor="text1"/>
                <w:sz w:val="20"/>
                <w:szCs w:val="20"/>
                <w14:textFill>
                  <w14:solidFill>
                    <w14:schemeClr w14:val="tx1"/>
                  </w14:solidFill>
                </w14:textFill>
              </w:rPr>
              <w:t>5</w:t>
            </w:r>
            <w:r>
              <w:rPr>
                <w:rFonts w:hint="eastAsia" w:ascii="仿宋_GB2312" w:hAnsi="宋体" w:eastAsia="仿宋_GB2312"/>
                <w:color w:val="000000" w:themeColor="text1"/>
                <w:sz w:val="20"/>
                <w:szCs w:val="20"/>
                <w14:textFill>
                  <w14:solidFill>
                    <w14:schemeClr w14:val="tx1"/>
                  </w14:solidFill>
                </w14:textFill>
              </w:rPr>
              <w:t>）团体项目排名以申报的项目建设方案（已验收的，按验收）中项目建设执行小组排名为准；无建设执行小组的，以申报材料名单为准（已验收的，按验收材料名单）；无名单的，以项目主持人提交经项目所在院部负责人签字认可的团队成员排序表为准。</w:t>
            </w:r>
          </w:p>
        </w:tc>
        <w:tc>
          <w:tcPr>
            <w:tcW w:w="5439" w:type="dxa"/>
          </w:tcPr>
          <w:p>
            <w:pPr>
              <w:spacing w:line="320" w:lineRule="exact"/>
              <w:rPr>
                <w:rFonts w:ascii="宋体" w:hAnsi="宋体"/>
                <w:color w:val="000000" w:themeColor="text1"/>
                <w:szCs w:val="21"/>
                <w14:textFill>
                  <w14:solidFill>
                    <w14:schemeClr w14:val="tx1"/>
                  </w14:solidFill>
                </w14:textFill>
              </w:rPr>
            </w:pPr>
          </w:p>
        </w:tc>
        <w:tc>
          <w:tcPr>
            <w:tcW w:w="2292" w:type="dxa"/>
          </w:tcPr>
          <w:p>
            <w:pPr>
              <w:spacing w:line="320" w:lineRule="exact"/>
              <w:rPr>
                <w:rFonts w:ascii="宋体" w:hAnsi="宋体"/>
                <w:color w:val="000000" w:themeColor="text1"/>
                <w:szCs w:val="21"/>
                <w14:textFill>
                  <w14:solidFill>
                    <w14:schemeClr w14:val="tx1"/>
                  </w14:solidFill>
                </w14:textFill>
              </w:rPr>
            </w:pPr>
          </w:p>
        </w:tc>
        <w:tc>
          <w:tcPr>
            <w:tcW w:w="1226" w:type="dxa"/>
          </w:tcPr>
          <w:p>
            <w:pPr>
              <w:spacing w:line="320" w:lineRule="exact"/>
              <w:rPr>
                <w:rFonts w:ascii="宋体" w:hAnsi="宋体"/>
                <w:color w:val="000000" w:themeColor="text1"/>
                <w:szCs w:val="21"/>
                <w14:textFill>
                  <w14:solidFill>
                    <w14:schemeClr w14:val="tx1"/>
                  </w14:solidFill>
                </w14:textFill>
              </w:rPr>
            </w:pPr>
          </w:p>
        </w:tc>
        <w:tc>
          <w:tcPr>
            <w:tcW w:w="746" w:type="dxa"/>
          </w:tcPr>
          <w:p>
            <w:pPr>
              <w:spacing w:line="320" w:lineRule="exact"/>
              <w:rPr>
                <w:rFonts w:ascii="宋体" w:hAnsi="宋体"/>
                <w:color w:val="000000" w:themeColor="text1"/>
                <w:szCs w:val="21"/>
                <w14:textFill>
                  <w14:solidFill>
                    <w14:schemeClr w14:val="tx1"/>
                  </w14:solidFill>
                </w14:textFill>
              </w:rPr>
            </w:pP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spacing w:line="320" w:lineRule="exact"/>
              <w:jc w:val="center"/>
              <w:rPr>
                <w:rFonts w:ascii="宋体" w:hAnsi="宋体"/>
                <w:color w:val="000000" w:themeColor="text1"/>
                <w:szCs w:val="21"/>
                <w14:textFill>
                  <w14:solidFill>
                    <w14:schemeClr w14:val="tx1"/>
                  </w14:solidFill>
                </w14:textFill>
              </w:rPr>
            </w:pPr>
          </w:p>
        </w:tc>
        <w:tc>
          <w:tcPr>
            <w:tcW w:w="1275" w:type="dxa"/>
            <w:vMerge w:val="continue"/>
            <w:vAlign w:val="center"/>
          </w:tcPr>
          <w:p>
            <w:pPr>
              <w:spacing w:line="320" w:lineRule="exact"/>
              <w:jc w:val="center"/>
              <w:rPr>
                <w:rFonts w:ascii="宋体" w:hAnsi="宋体"/>
                <w:color w:val="000000" w:themeColor="text1"/>
                <w:szCs w:val="21"/>
                <w14:textFill>
                  <w14:solidFill>
                    <w14:schemeClr w14:val="tx1"/>
                  </w14:solidFill>
                </w14:textFill>
              </w:rPr>
            </w:pPr>
          </w:p>
        </w:tc>
        <w:tc>
          <w:tcPr>
            <w:tcW w:w="1276"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教学技能</w:t>
            </w:r>
          </w:p>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竞赛</w:t>
            </w:r>
          </w:p>
        </w:tc>
        <w:tc>
          <w:tcPr>
            <w:tcW w:w="731" w:type="dxa"/>
            <w:vMerge w:val="continue"/>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3522" w:type="dxa"/>
            <w:vAlign w:val="center"/>
          </w:tcPr>
          <w:p>
            <w:pPr>
              <w:adjustRightInd w:val="0"/>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（1）国家级4</w:t>
            </w:r>
            <w:r>
              <w:rPr>
                <w:rFonts w:ascii="仿宋_GB2312" w:hAnsi="宋体" w:eastAsia="仿宋_GB2312"/>
                <w:color w:val="000000" w:themeColor="text1"/>
                <w:kern w:val="0"/>
                <w:sz w:val="20"/>
                <w:szCs w:val="20"/>
                <w14:textFill>
                  <w14:solidFill>
                    <w14:schemeClr w14:val="tx1"/>
                  </w14:solidFill>
                </w14:textFill>
              </w:rPr>
              <w:t>5</w:t>
            </w:r>
            <w:r>
              <w:rPr>
                <w:rFonts w:hint="eastAsia" w:ascii="仿宋_GB2312" w:hAnsi="宋体" w:eastAsia="仿宋_GB2312"/>
                <w:color w:val="000000" w:themeColor="text1"/>
                <w:kern w:val="0"/>
                <w:sz w:val="20"/>
                <w:szCs w:val="20"/>
                <w14:textFill>
                  <w14:solidFill>
                    <w14:schemeClr w14:val="tx1"/>
                  </w14:solidFill>
                </w14:textFill>
              </w:rPr>
              <w:t>分。</w:t>
            </w:r>
          </w:p>
          <w:p>
            <w:pPr>
              <w:adjustRightInd w:val="0"/>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（2）省（部）级一等奖计</w:t>
            </w:r>
            <w:r>
              <w:rPr>
                <w:rFonts w:ascii="仿宋_GB2312" w:hAnsi="宋体" w:eastAsia="仿宋_GB2312"/>
                <w:color w:val="000000" w:themeColor="text1"/>
                <w:kern w:val="0"/>
                <w:sz w:val="20"/>
                <w:szCs w:val="20"/>
                <w14:textFill>
                  <w14:solidFill>
                    <w14:schemeClr w14:val="tx1"/>
                  </w14:solidFill>
                </w14:textFill>
              </w:rPr>
              <w:t>20</w:t>
            </w:r>
            <w:r>
              <w:rPr>
                <w:rFonts w:hint="eastAsia" w:ascii="仿宋_GB2312" w:hAnsi="宋体" w:eastAsia="仿宋_GB2312"/>
                <w:color w:val="000000" w:themeColor="text1"/>
                <w:kern w:val="0"/>
                <w:sz w:val="20"/>
                <w:szCs w:val="20"/>
                <w14:textFill>
                  <w14:solidFill>
                    <w14:schemeClr w14:val="tx1"/>
                  </w14:solidFill>
                </w14:textFill>
              </w:rPr>
              <w:t>分，二等奖计</w:t>
            </w:r>
            <w:r>
              <w:rPr>
                <w:rFonts w:ascii="仿宋_GB2312" w:hAnsi="宋体" w:eastAsia="仿宋_GB2312"/>
                <w:color w:val="000000" w:themeColor="text1"/>
                <w:kern w:val="0"/>
                <w:sz w:val="20"/>
                <w:szCs w:val="20"/>
                <w14:textFill>
                  <w14:solidFill>
                    <w14:schemeClr w14:val="tx1"/>
                  </w14:solidFill>
                </w14:textFill>
              </w:rPr>
              <w:t>12</w:t>
            </w:r>
            <w:r>
              <w:rPr>
                <w:rFonts w:hint="eastAsia" w:ascii="仿宋_GB2312" w:hAnsi="宋体" w:eastAsia="仿宋_GB2312"/>
                <w:color w:val="000000" w:themeColor="text1"/>
                <w:kern w:val="0"/>
                <w:sz w:val="20"/>
                <w:szCs w:val="20"/>
                <w14:textFill>
                  <w14:solidFill>
                    <w14:schemeClr w14:val="tx1"/>
                  </w14:solidFill>
                </w14:textFill>
              </w:rPr>
              <w:t>分，三等奖计5分。</w:t>
            </w:r>
          </w:p>
          <w:p>
            <w:pPr>
              <w:adjustRightInd w:val="0"/>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（3）市（厅、院）级一等奖计3分，二等奖1分。</w:t>
            </w:r>
          </w:p>
          <w:p>
            <w:pPr>
              <w:adjustRightInd w:val="0"/>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w:t>
            </w:r>
            <w:r>
              <w:rPr>
                <w:rFonts w:ascii="仿宋_GB2312" w:hAnsi="宋体" w:eastAsia="仿宋_GB2312"/>
                <w:color w:val="000000" w:themeColor="text1"/>
                <w:kern w:val="0"/>
                <w:sz w:val="20"/>
                <w:szCs w:val="20"/>
                <w14:textFill>
                  <w14:solidFill>
                    <w14:schemeClr w14:val="tx1"/>
                  </w14:solidFill>
                </w14:textFill>
              </w:rPr>
              <w:t>4</w:t>
            </w:r>
            <w:r>
              <w:rPr>
                <w:rFonts w:hint="eastAsia" w:ascii="仿宋_GB2312" w:hAnsi="宋体" w:eastAsia="仿宋_GB2312"/>
                <w:color w:val="000000" w:themeColor="text1"/>
                <w:kern w:val="0"/>
                <w:sz w:val="20"/>
                <w:szCs w:val="20"/>
                <w14:textFill>
                  <w14:solidFill>
                    <w14:schemeClr w14:val="tx1"/>
                  </w14:solidFill>
                </w14:textFill>
              </w:rPr>
              <w:t>）设特等奖的项目，特等奖按上述一等奖计算，以此类推，三等奖不计分。</w:t>
            </w:r>
          </w:p>
        </w:tc>
        <w:tc>
          <w:tcPr>
            <w:tcW w:w="4394" w:type="dxa"/>
            <w:vAlign w:val="center"/>
          </w:tcPr>
          <w:p>
            <w:pPr>
              <w:spacing w:line="300" w:lineRule="exact"/>
              <w:rPr>
                <w:rFonts w:ascii="仿宋_GB2312" w:hAnsi="宋体" w:eastAsia="仿宋_GB2312"/>
                <w:sz w:val="20"/>
                <w:szCs w:val="20"/>
              </w:rPr>
            </w:pPr>
            <w:r>
              <w:rPr>
                <w:rFonts w:hint="eastAsia" w:ascii="仿宋_GB2312" w:hAnsi="宋体" w:eastAsia="仿宋_GB2312"/>
                <w:sz w:val="20"/>
                <w:szCs w:val="20"/>
              </w:rPr>
              <w:t>（1）参加教学技能竞赛获得荣誉称号按表计分，参加由政府机构组织的其它经学校批准的教师竞赛项目获得荣誉称号按表5</w:t>
            </w:r>
            <w:r>
              <w:rPr>
                <w:rFonts w:ascii="仿宋_GB2312" w:hAnsi="宋体" w:eastAsia="仿宋_GB2312"/>
                <w:sz w:val="20"/>
                <w:szCs w:val="20"/>
              </w:rPr>
              <w:t>0</w:t>
            </w:r>
            <w:r>
              <w:rPr>
                <w:rFonts w:hint="eastAsia" w:ascii="仿宋_GB2312" w:hAnsi="宋体" w:eastAsia="仿宋_GB2312"/>
                <w:sz w:val="20"/>
                <w:szCs w:val="20"/>
              </w:rPr>
              <w:t>%计分。</w:t>
            </w:r>
          </w:p>
          <w:p>
            <w:pPr>
              <w:spacing w:line="30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（2）由学院批准参加的由行指委组织的国家级比赛视同省级，省级初赛视同市厅级并按其它教师竞赛项目计分。</w:t>
            </w:r>
          </w:p>
          <w:p>
            <w:pPr>
              <w:spacing w:line="30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（3）以个人参赛的项目按表中分数计分，在以教师团队参赛的项目中排名第一的老师按上述（1）（2）款计分，其它有效名次按排名第一的7</w:t>
            </w:r>
            <w:r>
              <w:rPr>
                <w:rFonts w:ascii="仿宋_GB2312" w:hAnsi="宋体" w:eastAsia="仿宋_GB2312"/>
                <w:color w:val="000000" w:themeColor="text1"/>
                <w:sz w:val="20"/>
                <w:szCs w:val="20"/>
                <w14:textFill>
                  <w14:solidFill>
                    <w14:schemeClr w14:val="tx1"/>
                  </w14:solidFill>
                </w14:textFill>
              </w:rPr>
              <w:t>0</w:t>
            </w:r>
            <w:r>
              <w:rPr>
                <w:rFonts w:hint="eastAsia" w:ascii="仿宋_GB2312" w:hAnsi="宋体" w:eastAsia="仿宋_GB2312"/>
                <w:color w:val="000000" w:themeColor="text1"/>
                <w:sz w:val="20"/>
                <w:szCs w:val="20"/>
                <w14:textFill>
                  <w14:solidFill>
                    <w14:schemeClr w14:val="tx1"/>
                  </w14:solidFill>
                </w14:textFill>
              </w:rPr>
              <w:t>%计分。（排名以赛前填报教务处名单为准）。</w:t>
            </w:r>
          </w:p>
          <w:p>
            <w:pPr>
              <w:spacing w:line="30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（4）未经学院批准参加的比赛不计分；院级B类项目不计分。</w:t>
            </w:r>
          </w:p>
          <w:p>
            <w:pPr>
              <w:spacing w:line="30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（5）同年度同一项目按最高获奖计分。</w:t>
            </w:r>
          </w:p>
        </w:tc>
        <w:tc>
          <w:tcPr>
            <w:tcW w:w="5439" w:type="dxa"/>
          </w:tcPr>
          <w:p>
            <w:pPr>
              <w:spacing w:line="320" w:lineRule="exact"/>
              <w:rPr>
                <w:rFonts w:ascii="宋体" w:hAnsi="宋体"/>
                <w:color w:val="000000" w:themeColor="text1"/>
                <w:szCs w:val="21"/>
                <w14:textFill>
                  <w14:solidFill>
                    <w14:schemeClr w14:val="tx1"/>
                  </w14:solidFill>
                </w14:textFill>
              </w:rPr>
            </w:pPr>
          </w:p>
        </w:tc>
        <w:tc>
          <w:tcPr>
            <w:tcW w:w="2292" w:type="dxa"/>
          </w:tcPr>
          <w:p>
            <w:pPr>
              <w:spacing w:line="320" w:lineRule="exact"/>
              <w:rPr>
                <w:rFonts w:ascii="宋体" w:hAnsi="宋体"/>
                <w:color w:val="000000" w:themeColor="text1"/>
                <w:szCs w:val="21"/>
                <w14:textFill>
                  <w14:solidFill>
                    <w14:schemeClr w14:val="tx1"/>
                  </w14:solidFill>
                </w14:textFill>
              </w:rPr>
            </w:pPr>
          </w:p>
        </w:tc>
        <w:tc>
          <w:tcPr>
            <w:tcW w:w="1226" w:type="dxa"/>
          </w:tcPr>
          <w:p>
            <w:pPr>
              <w:spacing w:line="320" w:lineRule="exact"/>
              <w:rPr>
                <w:rFonts w:ascii="宋体" w:hAnsi="宋体"/>
                <w:color w:val="000000" w:themeColor="text1"/>
                <w:szCs w:val="21"/>
                <w14:textFill>
                  <w14:solidFill>
                    <w14:schemeClr w14:val="tx1"/>
                  </w14:solidFill>
                </w14:textFill>
              </w:rPr>
            </w:pPr>
          </w:p>
        </w:tc>
        <w:tc>
          <w:tcPr>
            <w:tcW w:w="746" w:type="dxa"/>
          </w:tcPr>
          <w:p>
            <w:pPr>
              <w:spacing w:line="320" w:lineRule="exact"/>
              <w:rPr>
                <w:rFonts w:ascii="宋体" w:hAnsi="宋体"/>
                <w:color w:val="000000" w:themeColor="text1"/>
                <w:szCs w:val="21"/>
                <w14:textFill>
                  <w14:solidFill>
                    <w14:schemeClr w14:val="tx1"/>
                  </w14:solidFill>
                </w14:textFill>
              </w:rPr>
            </w:pP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spacing w:line="320" w:lineRule="exact"/>
              <w:jc w:val="center"/>
              <w:rPr>
                <w:rFonts w:ascii="宋体" w:hAnsi="宋体"/>
                <w:color w:val="000000" w:themeColor="text1"/>
                <w:szCs w:val="21"/>
                <w14:textFill>
                  <w14:solidFill>
                    <w14:schemeClr w14:val="tx1"/>
                  </w14:solidFill>
                </w14:textFill>
              </w:rPr>
            </w:pPr>
          </w:p>
        </w:tc>
        <w:tc>
          <w:tcPr>
            <w:tcW w:w="1275" w:type="dxa"/>
            <w:vMerge w:val="continue"/>
            <w:vAlign w:val="center"/>
          </w:tcPr>
          <w:p>
            <w:pPr>
              <w:spacing w:line="320" w:lineRule="exact"/>
              <w:jc w:val="center"/>
              <w:rPr>
                <w:rFonts w:ascii="宋体" w:hAnsi="宋体"/>
                <w:color w:val="000000" w:themeColor="text1"/>
                <w:szCs w:val="21"/>
                <w14:textFill>
                  <w14:solidFill>
                    <w14:schemeClr w14:val="tx1"/>
                  </w14:solidFill>
                </w14:textFill>
              </w:rPr>
            </w:pPr>
          </w:p>
        </w:tc>
        <w:tc>
          <w:tcPr>
            <w:tcW w:w="1276"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专业人才培养方案抽查</w:t>
            </w:r>
          </w:p>
        </w:tc>
        <w:tc>
          <w:tcPr>
            <w:tcW w:w="731" w:type="dxa"/>
            <w:vMerge w:val="continue"/>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3522" w:type="dxa"/>
            <w:vAlign w:val="center"/>
          </w:tcPr>
          <w:p>
            <w:pPr>
              <w:adjustRightInd w:val="0"/>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专业人才培养方案在全省抽查中获评优秀，教研室主任加 3 分，教研室副主任加2分，指导团队成员各加1分（抽查当年团队指导老师由各学院认定，教务处审核），教研室主任累计不超过6分，副主任不超过4分，团队成员累计不超过 2 分。</w:t>
            </w:r>
          </w:p>
        </w:tc>
        <w:tc>
          <w:tcPr>
            <w:tcW w:w="4394" w:type="dxa"/>
            <w:vAlign w:val="center"/>
          </w:tcPr>
          <w:p>
            <w:pPr>
              <w:spacing w:line="300" w:lineRule="exact"/>
              <w:rPr>
                <w:rFonts w:ascii="仿宋_GB2312" w:hAnsi="宋体" w:eastAsia="仿宋_GB2312"/>
                <w:color w:val="000000" w:themeColor="text1"/>
                <w:sz w:val="20"/>
                <w:szCs w:val="20"/>
                <w14:textFill>
                  <w14:solidFill>
                    <w14:schemeClr w14:val="tx1"/>
                  </w14:solidFill>
                </w14:textFill>
              </w:rPr>
            </w:pPr>
          </w:p>
        </w:tc>
        <w:tc>
          <w:tcPr>
            <w:tcW w:w="5439" w:type="dxa"/>
          </w:tcPr>
          <w:p>
            <w:pPr>
              <w:spacing w:line="320" w:lineRule="exact"/>
              <w:rPr>
                <w:rFonts w:ascii="宋体" w:hAnsi="宋体"/>
                <w:color w:val="000000" w:themeColor="text1"/>
                <w:szCs w:val="21"/>
                <w14:textFill>
                  <w14:solidFill>
                    <w14:schemeClr w14:val="tx1"/>
                  </w14:solidFill>
                </w14:textFill>
              </w:rPr>
            </w:pPr>
          </w:p>
        </w:tc>
        <w:tc>
          <w:tcPr>
            <w:tcW w:w="2292" w:type="dxa"/>
          </w:tcPr>
          <w:p>
            <w:pPr>
              <w:spacing w:line="320" w:lineRule="exact"/>
              <w:rPr>
                <w:rFonts w:ascii="宋体" w:hAnsi="宋体"/>
                <w:color w:val="000000" w:themeColor="text1"/>
                <w:szCs w:val="21"/>
                <w14:textFill>
                  <w14:solidFill>
                    <w14:schemeClr w14:val="tx1"/>
                  </w14:solidFill>
                </w14:textFill>
              </w:rPr>
            </w:pPr>
          </w:p>
        </w:tc>
        <w:tc>
          <w:tcPr>
            <w:tcW w:w="1226" w:type="dxa"/>
          </w:tcPr>
          <w:p>
            <w:pPr>
              <w:spacing w:line="320" w:lineRule="exact"/>
              <w:rPr>
                <w:rFonts w:ascii="宋体" w:hAnsi="宋体"/>
                <w:color w:val="000000" w:themeColor="text1"/>
                <w:szCs w:val="21"/>
                <w14:textFill>
                  <w14:solidFill>
                    <w14:schemeClr w14:val="tx1"/>
                  </w14:solidFill>
                </w14:textFill>
              </w:rPr>
            </w:pPr>
          </w:p>
        </w:tc>
        <w:tc>
          <w:tcPr>
            <w:tcW w:w="746" w:type="dxa"/>
          </w:tcPr>
          <w:p>
            <w:pPr>
              <w:spacing w:line="320" w:lineRule="exact"/>
              <w:rPr>
                <w:rFonts w:ascii="宋体" w:hAnsi="宋体"/>
                <w:color w:val="000000" w:themeColor="text1"/>
                <w:szCs w:val="21"/>
                <w14:textFill>
                  <w14:solidFill>
                    <w14:schemeClr w14:val="tx1"/>
                  </w14:solidFill>
                </w14:textFill>
              </w:rPr>
            </w:pP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5" w:hRule="atLeast"/>
          <w:jc w:val="center"/>
        </w:trPr>
        <w:tc>
          <w:tcPr>
            <w:tcW w:w="534" w:type="dxa"/>
            <w:vMerge w:val="continue"/>
            <w:vAlign w:val="center"/>
          </w:tcPr>
          <w:p>
            <w:pPr>
              <w:spacing w:line="320" w:lineRule="exact"/>
              <w:jc w:val="center"/>
              <w:rPr>
                <w:rFonts w:ascii="宋体" w:hAnsi="宋体"/>
                <w:color w:val="000000" w:themeColor="text1"/>
                <w:szCs w:val="21"/>
                <w14:textFill>
                  <w14:solidFill>
                    <w14:schemeClr w14:val="tx1"/>
                  </w14:solidFill>
                </w14:textFill>
              </w:rPr>
            </w:pPr>
          </w:p>
        </w:tc>
        <w:tc>
          <w:tcPr>
            <w:tcW w:w="1275" w:type="dxa"/>
            <w:vMerge w:val="continue"/>
            <w:vAlign w:val="center"/>
          </w:tcPr>
          <w:p>
            <w:pPr>
              <w:spacing w:line="320" w:lineRule="exact"/>
              <w:jc w:val="center"/>
              <w:rPr>
                <w:rFonts w:ascii="宋体" w:hAnsi="宋体"/>
                <w:color w:val="000000" w:themeColor="text1"/>
                <w:szCs w:val="21"/>
                <w14:textFill>
                  <w14:solidFill>
                    <w14:schemeClr w14:val="tx1"/>
                  </w14:solidFill>
                </w14:textFill>
              </w:rPr>
            </w:pPr>
          </w:p>
        </w:tc>
        <w:tc>
          <w:tcPr>
            <w:tcW w:w="1276" w:type="dxa"/>
            <w:shd w:val="clear" w:color="auto" w:fill="auto"/>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教学成果奖</w:t>
            </w:r>
          </w:p>
        </w:tc>
        <w:tc>
          <w:tcPr>
            <w:tcW w:w="731" w:type="dxa"/>
            <w:vMerge w:val="continue"/>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3522" w:type="dxa"/>
            <w:vAlign w:val="center"/>
          </w:tcPr>
          <w:p>
            <w:pPr>
              <w:snapToGrid w:val="0"/>
              <w:spacing w:line="320" w:lineRule="exac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（1）国家级二等奖计45分。</w:t>
            </w:r>
          </w:p>
          <w:p>
            <w:pPr>
              <w:snapToGrid w:val="0"/>
              <w:spacing w:line="320" w:lineRule="exac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（2）省（部）级一等奖计3</w:t>
            </w:r>
            <w:r>
              <w:rPr>
                <w:rFonts w:ascii="仿宋_GB2312" w:hAnsi="宋体" w:eastAsia="仿宋_GB2312"/>
                <w:color w:val="000000" w:themeColor="text1"/>
                <w:kern w:val="0"/>
                <w:sz w:val="20"/>
                <w:szCs w:val="20"/>
                <w14:textFill>
                  <w14:solidFill>
                    <w14:schemeClr w14:val="tx1"/>
                  </w14:solidFill>
                </w14:textFill>
              </w:rPr>
              <w:t>0</w:t>
            </w:r>
            <w:r>
              <w:rPr>
                <w:rFonts w:hint="eastAsia" w:ascii="仿宋_GB2312" w:hAnsi="宋体" w:eastAsia="仿宋_GB2312"/>
                <w:color w:val="000000" w:themeColor="text1"/>
                <w:kern w:val="0"/>
                <w:sz w:val="20"/>
                <w:szCs w:val="20"/>
                <w14:textFill>
                  <w14:solidFill>
                    <w14:schemeClr w14:val="tx1"/>
                  </w14:solidFill>
                </w14:textFill>
              </w:rPr>
              <w:t>分，二等奖计1</w:t>
            </w:r>
            <w:r>
              <w:rPr>
                <w:rFonts w:ascii="仿宋_GB2312" w:hAnsi="宋体" w:eastAsia="仿宋_GB2312"/>
                <w:color w:val="000000" w:themeColor="text1"/>
                <w:kern w:val="0"/>
                <w:sz w:val="20"/>
                <w:szCs w:val="20"/>
                <w14:textFill>
                  <w14:solidFill>
                    <w14:schemeClr w14:val="tx1"/>
                  </w14:solidFill>
                </w14:textFill>
              </w:rPr>
              <w:t>2</w:t>
            </w:r>
            <w:r>
              <w:rPr>
                <w:rFonts w:hint="eastAsia" w:ascii="仿宋_GB2312" w:hAnsi="宋体" w:eastAsia="仿宋_GB2312"/>
                <w:color w:val="000000" w:themeColor="text1"/>
                <w:kern w:val="0"/>
                <w:sz w:val="20"/>
                <w:szCs w:val="20"/>
                <w14:textFill>
                  <w14:solidFill>
                    <w14:schemeClr w14:val="tx1"/>
                  </w14:solidFill>
                </w14:textFill>
              </w:rPr>
              <w:t>分，三等奖计5分。</w:t>
            </w:r>
          </w:p>
          <w:p>
            <w:pPr>
              <w:adjustRightInd w:val="0"/>
              <w:snapToGrid w:val="0"/>
              <w:spacing w:line="320" w:lineRule="exact"/>
              <w:jc w:val="lef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（3）市（厅、院）级一等奖计3分，二等奖计1分。</w:t>
            </w:r>
          </w:p>
        </w:tc>
        <w:tc>
          <w:tcPr>
            <w:tcW w:w="4394" w:type="dxa"/>
            <w:vAlign w:val="center"/>
          </w:tcPr>
          <w:p>
            <w:pPr>
              <w:adjustRightInd w:val="0"/>
              <w:snapToGrid w:val="0"/>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（1）教学成果所获奖项必须是与教育教学有关的项目。</w:t>
            </w:r>
          </w:p>
          <w:p>
            <w:pPr>
              <w:adjustRightInd w:val="0"/>
              <w:snapToGrid w:val="0"/>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（2）排名第一的获奖者按表中所列分数计分；排名第二及以后的有效名次获奖者，均按其排名前一名减半记分。（按四舍五入取两位小数。）</w:t>
            </w:r>
          </w:p>
          <w:p>
            <w:pPr>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（3）同一项目不同级别按最高获奖计分。</w:t>
            </w:r>
          </w:p>
        </w:tc>
        <w:tc>
          <w:tcPr>
            <w:tcW w:w="5439" w:type="dxa"/>
          </w:tcPr>
          <w:p>
            <w:pPr>
              <w:spacing w:line="320" w:lineRule="exact"/>
              <w:rPr>
                <w:rFonts w:ascii="宋体" w:hAnsi="宋体"/>
                <w:color w:val="000000" w:themeColor="text1"/>
                <w:sz w:val="18"/>
                <w:szCs w:val="18"/>
                <w14:textFill>
                  <w14:solidFill>
                    <w14:schemeClr w14:val="tx1"/>
                  </w14:solidFill>
                </w14:textFill>
              </w:rPr>
            </w:pPr>
          </w:p>
        </w:tc>
        <w:tc>
          <w:tcPr>
            <w:tcW w:w="2292" w:type="dxa"/>
          </w:tcPr>
          <w:p>
            <w:pPr>
              <w:spacing w:line="320" w:lineRule="exact"/>
              <w:rPr>
                <w:rFonts w:ascii="宋体" w:hAnsi="宋体" w:cs="宋体"/>
                <w:szCs w:val="21"/>
              </w:rPr>
            </w:pPr>
          </w:p>
        </w:tc>
        <w:tc>
          <w:tcPr>
            <w:tcW w:w="1226" w:type="dxa"/>
          </w:tcPr>
          <w:p>
            <w:pPr>
              <w:spacing w:line="320" w:lineRule="exact"/>
              <w:rPr>
                <w:rFonts w:ascii="宋体" w:hAnsi="宋体"/>
                <w:color w:val="000000" w:themeColor="text1"/>
                <w:szCs w:val="21"/>
                <w14:textFill>
                  <w14:solidFill>
                    <w14:schemeClr w14:val="tx1"/>
                  </w14:solidFill>
                </w14:textFill>
              </w:rPr>
            </w:pPr>
          </w:p>
        </w:tc>
        <w:tc>
          <w:tcPr>
            <w:tcW w:w="746" w:type="dxa"/>
          </w:tcPr>
          <w:p>
            <w:pPr>
              <w:spacing w:line="320" w:lineRule="exact"/>
              <w:rPr>
                <w:rFonts w:ascii="宋体" w:hAnsi="宋体"/>
                <w:color w:val="000000" w:themeColor="text1"/>
                <w:szCs w:val="21"/>
                <w14:textFill>
                  <w14:solidFill>
                    <w14:schemeClr w14:val="tx1"/>
                  </w14:solidFill>
                </w14:textFill>
              </w:rPr>
            </w:pPr>
          </w:p>
        </w:tc>
        <w:tc>
          <w:tcPr>
            <w:tcW w:w="815" w:type="dxa"/>
          </w:tcPr>
          <w:p>
            <w:pPr>
              <w:spacing w:line="320" w:lineRule="exact"/>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nil"/>
            </w:tcBorders>
            <w:vAlign w:val="center"/>
          </w:tcPr>
          <w:p>
            <w:pPr>
              <w:spacing w:line="320" w:lineRule="exact"/>
              <w:jc w:val="center"/>
              <w:rPr>
                <w:rFonts w:ascii="宋体" w:hAnsi="宋体"/>
                <w:color w:val="000000" w:themeColor="text1"/>
                <w:szCs w:val="21"/>
                <w14:textFill>
                  <w14:solidFill>
                    <w14:schemeClr w14:val="tx1"/>
                  </w14:solidFill>
                </w14:textFill>
              </w:rPr>
            </w:pPr>
          </w:p>
        </w:tc>
        <w:tc>
          <w:tcPr>
            <w:tcW w:w="1275" w:type="dxa"/>
            <w:tcBorders>
              <w:top w:val="nil"/>
            </w:tcBorders>
            <w:vAlign w:val="center"/>
          </w:tcPr>
          <w:p>
            <w:pPr>
              <w:spacing w:line="320" w:lineRule="exact"/>
              <w:jc w:val="center"/>
              <w:rPr>
                <w:rFonts w:ascii="宋体" w:hAnsi="宋体"/>
                <w:color w:val="000000" w:themeColor="text1"/>
                <w:szCs w:val="21"/>
                <w14:textFill>
                  <w14:solidFill>
                    <w14:schemeClr w14:val="tx1"/>
                  </w14:solidFill>
                </w14:textFill>
              </w:rPr>
            </w:pPr>
          </w:p>
        </w:tc>
        <w:tc>
          <w:tcPr>
            <w:tcW w:w="1276" w:type="dxa"/>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优秀教材</w:t>
            </w:r>
          </w:p>
        </w:tc>
        <w:tc>
          <w:tcPr>
            <w:tcW w:w="731" w:type="dxa"/>
            <w:tcBorders>
              <w:top w:val="nil"/>
            </w:tcBorders>
            <w:vAlign w:val="center"/>
          </w:tcPr>
          <w:p>
            <w:pPr>
              <w:spacing w:line="320" w:lineRule="exact"/>
              <w:jc w:val="center"/>
              <w:rPr>
                <w:rFonts w:ascii="仿宋_GB2312" w:hAnsi="宋体" w:eastAsia="仿宋_GB2312"/>
                <w:color w:val="000000" w:themeColor="text1"/>
                <w:sz w:val="20"/>
                <w:szCs w:val="20"/>
                <w14:textFill>
                  <w14:solidFill>
                    <w14:schemeClr w14:val="tx1"/>
                  </w14:solidFill>
                </w14:textFill>
              </w:rPr>
            </w:pPr>
          </w:p>
        </w:tc>
        <w:tc>
          <w:tcPr>
            <w:tcW w:w="3522" w:type="dxa"/>
            <w:vAlign w:val="center"/>
          </w:tcPr>
          <w:p>
            <w:pPr>
              <w:snapToGrid w:val="0"/>
              <w:spacing w:line="320" w:lineRule="exac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（1）获国家教材奖2</w:t>
            </w:r>
            <w:r>
              <w:rPr>
                <w:rFonts w:ascii="仿宋_GB2312" w:hAnsi="宋体" w:eastAsia="仿宋_GB2312"/>
                <w:color w:val="000000" w:themeColor="text1"/>
                <w:kern w:val="0"/>
                <w:sz w:val="20"/>
                <w:szCs w:val="20"/>
                <w14:textFill>
                  <w14:solidFill>
                    <w14:schemeClr w14:val="tx1"/>
                  </w14:solidFill>
                </w14:textFill>
              </w:rPr>
              <w:t>0</w:t>
            </w:r>
            <w:r>
              <w:rPr>
                <w:rFonts w:hint="eastAsia" w:ascii="仿宋_GB2312" w:hAnsi="宋体" w:eastAsia="仿宋_GB2312"/>
                <w:color w:val="000000" w:themeColor="text1"/>
                <w:kern w:val="0"/>
                <w:sz w:val="20"/>
                <w:szCs w:val="20"/>
                <w14:textFill>
                  <w14:solidFill>
                    <w14:schemeClr w14:val="tx1"/>
                  </w14:solidFill>
                </w14:textFill>
              </w:rPr>
              <w:t>分，国家优秀（规划）教材1</w:t>
            </w:r>
            <w:r>
              <w:rPr>
                <w:rFonts w:ascii="仿宋_GB2312" w:hAnsi="宋体" w:eastAsia="仿宋_GB2312"/>
                <w:color w:val="000000" w:themeColor="text1"/>
                <w:kern w:val="0"/>
                <w:sz w:val="20"/>
                <w:szCs w:val="20"/>
                <w14:textFill>
                  <w14:solidFill>
                    <w14:schemeClr w14:val="tx1"/>
                  </w14:solidFill>
                </w14:textFill>
              </w:rPr>
              <w:t>0</w:t>
            </w:r>
            <w:r>
              <w:rPr>
                <w:rFonts w:hint="eastAsia" w:ascii="仿宋_GB2312" w:hAnsi="宋体" w:eastAsia="仿宋_GB2312"/>
                <w:color w:val="000000" w:themeColor="text1"/>
                <w:kern w:val="0"/>
                <w:sz w:val="20"/>
                <w:szCs w:val="20"/>
                <w14:textFill>
                  <w14:solidFill>
                    <w14:schemeClr w14:val="tx1"/>
                  </w14:solidFill>
                </w14:textFill>
              </w:rPr>
              <w:t>分。</w:t>
            </w:r>
          </w:p>
          <w:p>
            <w:pPr>
              <w:snapToGrid w:val="0"/>
              <w:spacing w:line="320" w:lineRule="exact"/>
              <w:rPr>
                <w:rFonts w:ascii="仿宋_GB2312" w:hAnsi="宋体" w:eastAsia="仿宋_GB2312"/>
                <w:color w:val="000000" w:themeColor="text1"/>
                <w:kern w:val="0"/>
                <w:sz w:val="20"/>
                <w:szCs w:val="20"/>
                <w14:textFill>
                  <w14:solidFill>
                    <w14:schemeClr w14:val="tx1"/>
                  </w14:solidFill>
                </w14:textFill>
              </w:rPr>
            </w:pPr>
            <w:r>
              <w:rPr>
                <w:rFonts w:hint="eastAsia" w:ascii="仿宋_GB2312" w:hAnsi="宋体" w:eastAsia="仿宋_GB2312"/>
                <w:color w:val="000000" w:themeColor="text1"/>
                <w:kern w:val="0"/>
                <w:sz w:val="20"/>
                <w:szCs w:val="20"/>
                <w14:textFill>
                  <w14:solidFill>
                    <w14:schemeClr w14:val="tx1"/>
                  </w14:solidFill>
                </w14:textFill>
              </w:rPr>
              <w:t>（2）获省级教材奖1</w:t>
            </w:r>
            <w:r>
              <w:rPr>
                <w:rFonts w:ascii="仿宋_GB2312" w:hAnsi="宋体" w:eastAsia="仿宋_GB2312"/>
                <w:color w:val="000000" w:themeColor="text1"/>
                <w:kern w:val="0"/>
                <w:sz w:val="20"/>
                <w:szCs w:val="20"/>
                <w14:textFill>
                  <w14:solidFill>
                    <w14:schemeClr w14:val="tx1"/>
                  </w14:solidFill>
                </w14:textFill>
              </w:rPr>
              <w:t>0</w:t>
            </w:r>
            <w:r>
              <w:rPr>
                <w:rFonts w:hint="eastAsia" w:ascii="仿宋_GB2312" w:hAnsi="宋体" w:eastAsia="仿宋_GB2312"/>
                <w:color w:val="000000" w:themeColor="text1"/>
                <w:kern w:val="0"/>
                <w:sz w:val="20"/>
                <w:szCs w:val="20"/>
                <w14:textFill>
                  <w14:solidFill>
                    <w14:schemeClr w14:val="tx1"/>
                  </w14:solidFill>
                </w14:textFill>
              </w:rPr>
              <w:t>分，省级优秀教材5分。</w:t>
            </w:r>
          </w:p>
          <w:p>
            <w:pPr>
              <w:snapToGrid w:val="0"/>
              <w:spacing w:line="320" w:lineRule="exact"/>
              <w:rPr>
                <w:rFonts w:ascii="仿宋_GB2312" w:hAnsi="宋体" w:eastAsia="仿宋_GB2312"/>
                <w:color w:val="000000" w:themeColor="text1"/>
                <w:kern w:val="0"/>
                <w:sz w:val="20"/>
                <w:szCs w:val="20"/>
                <w14:textFill>
                  <w14:solidFill>
                    <w14:schemeClr w14:val="tx1"/>
                  </w14:solidFill>
                </w14:textFill>
              </w:rPr>
            </w:pPr>
            <w:r>
              <w:rPr>
                <w:rFonts w:ascii="仿宋_GB2312" w:hAnsi="宋体" w:eastAsia="仿宋_GB2312"/>
                <w:color w:val="000000" w:themeColor="text1"/>
                <w:kern w:val="0"/>
                <w:sz w:val="20"/>
                <w:szCs w:val="20"/>
                <w14:textFill>
                  <w14:solidFill>
                    <w14:schemeClr w14:val="tx1"/>
                  </w14:solidFill>
                </w14:textFill>
              </w:rPr>
              <w:t>（</w:t>
            </w:r>
            <w:r>
              <w:rPr>
                <w:rFonts w:hint="eastAsia" w:ascii="仿宋_GB2312" w:hAnsi="宋体" w:eastAsia="仿宋_GB2312"/>
                <w:color w:val="000000" w:themeColor="text1"/>
                <w:kern w:val="0"/>
                <w:sz w:val="20"/>
                <w:szCs w:val="20"/>
                <w14:textFill>
                  <w14:solidFill>
                    <w14:schemeClr w14:val="tx1"/>
                  </w14:solidFill>
                </w14:textFill>
              </w:rPr>
              <w:t>3）</w:t>
            </w:r>
            <w:r>
              <w:rPr>
                <w:rFonts w:hint="eastAsia" w:ascii="仿宋_GB2312" w:hAnsi="宋体" w:eastAsia="仿宋_GB2312"/>
                <w:color w:val="000000" w:themeColor="text1"/>
                <w:sz w:val="20"/>
                <w:szCs w:val="20"/>
                <w14:textFill>
                  <w14:solidFill>
                    <w14:schemeClr w14:val="tx1"/>
                  </w14:solidFill>
                </w14:textFill>
              </w:rPr>
              <w:t>全国百强出版社出版的</w:t>
            </w:r>
            <w:r>
              <w:rPr>
                <w:rFonts w:hint="eastAsia" w:ascii="仿宋_GB2312" w:hAnsi="宋体" w:eastAsia="仿宋_GB2312"/>
                <w:color w:val="000000" w:themeColor="text1"/>
                <w:kern w:val="0"/>
                <w:sz w:val="20"/>
                <w:szCs w:val="20"/>
                <w14:textFill>
                  <w14:solidFill>
                    <w14:schemeClr w14:val="tx1"/>
                  </w14:solidFill>
                </w14:textFill>
              </w:rPr>
              <w:t>教材</w:t>
            </w:r>
            <w:r>
              <w:rPr>
                <w:rFonts w:ascii="仿宋_GB2312" w:hAnsi="宋体" w:eastAsia="仿宋_GB2312"/>
                <w:color w:val="000000" w:themeColor="text1"/>
                <w:kern w:val="0"/>
                <w:sz w:val="20"/>
                <w:szCs w:val="20"/>
                <w14:textFill>
                  <w14:solidFill>
                    <w14:schemeClr w14:val="tx1"/>
                  </w14:solidFill>
                </w14:textFill>
              </w:rPr>
              <w:t>1分</w:t>
            </w:r>
            <w:r>
              <w:rPr>
                <w:rFonts w:hint="eastAsia" w:ascii="仿宋_GB2312" w:hAnsi="宋体" w:eastAsia="仿宋_GB2312"/>
                <w:color w:val="000000" w:themeColor="text1"/>
                <w:kern w:val="0"/>
                <w:sz w:val="20"/>
                <w:szCs w:val="20"/>
                <w14:textFill>
                  <w14:solidFill>
                    <w14:schemeClr w14:val="tx1"/>
                  </w14:solidFill>
                </w14:textFill>
              </w:rPr>
              <w:t>。</w:t>
            </w:r>
          </w:p>
        </w:tc>
        <w:tc>
          <w:tcPr>
            <w:tcW w:w="4394" w:type="dxa"/>
            <w:vAlign w:val="center"/>
          </w:tcPr>
          <w:p>
            <w:pPr>
              <w:spacing w:line="28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（1）第一主编计表中所列标准计分。其它参编人员按</w:t>
            </w:r>
            <w:r>
              <w:rPr>
                <w:rFonts w:hint="eastAsia" w:ascii="仿宋_GB2312" w:eastAsia="仿宋_GB2312"/>
                <w:color w:val="000000" w:themeColor="text1"/>
                <w:spacing w:val="-6"/>
                <w:szCs w:val="21"/>
                <w14:textFill>
                  <w14:solidFill>
                    <w14:schemeClr w14:val="tx1"/>
                  </w14:solidFill>
                </w14:textFill>
              </w:rPr>
              <w:t>b/n公式计分：b为参编总分，数值为第一主编应计分的一半；n为参编人数，参编人员每人得分b/n。</w:t>
            </w:r>
          </w:p>
          <w:p>
            <w:pPr>
              <w:adjustRightInd w:val="0"/>
              <w:snapToGrid w:val="0"/>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（2）国家规划教材以国家教育行政部门发布为准。</w:t>
            </w:r>
          </w:p>
          <w:p>
            <w:pPr>
              <w:adjustRightInd w:val="0"/>
              <w:snapToGrid w:val="0"/>
              <w:spacing w:line="320" w:lineRule="exact"/>
              <w:rPr>
                <w:rFonts w:ascii="仿宋_GB2312" w:hAnsi="宋体" w:eastAsia="仿宋_GB2312"/>
                <w:color w:val="000000" w:themeColor="text1"/>
                <w:sz w:val="20"/>
                <w:szCs w:val="20"/>
                <w14:textFill>
                  <w14:solidFill>
                    <w14:schemeClr w14:val="tx1"/>
                  </w14:solidFill>
                </w14:textFill>
              </w:rPr>
            </w:pPr>
            <w:r>
              <w:rPr>
                <w:rFonts w:hint="eastAsia" w:ascii="仿宋_GB2312" w:hAnsi="宋体" w:eastAsia="仿宋_GB2312"/>
                <w:color w:val="000000" w:themeColor="text1"/>
                <w:sz w:val="20"/>
                <w:szCs w:val="20"/>
                <w14:textFill>
                  <w14:solidFill>
                    <w14:schemeClr w14:val="tx1"/>
                  </w14:solidFill>
                </w14:textFill>
              </w:rPr>
              <w:t>（3）同一教材（含不同版次）按最高获奖计分。</w:t>
            </w:r>
          </w:p>
        </w:tc>
        <w:tc>
          <w:tcPr>
            <w:tcW w:w="5439" w:type="dxa"/>
          </w:tcPr>
          <w:p>
            <w:pPr>
              <w:spacing w:line="320" w:lineRule="exact"/>
              <w:rPr>
                <w:rFonts w:ascii="宋体" w:hAnsi="宋体"/>
                <w:color w:val="000000" w:themeColor="text1"/>
                <w:szCs w:val="21"/>
                <w14:textFill>
                  <w14:solidFill>
                    <w14:schemeClr w14:val="tx1"/>
                  </w14:solidFill>
                </w14:textFill>
              </w:rPr>
            </w:pPr>
          </w:p>
        </w:tc>
        <w:tc>
          <w:tcPr>
            <w:tcW w:w="2292" w:type="dxa"/>
          </w:tcPr>
          <w:p>
            <w:pPr>
              <w:spacing w:line="320" w:lineRule="exact"/>
              <w:rPr>
                <w:rFonts w:ascii="宋体" w:hAnsi="宋体"/>
                <w:color w:val="000000" w:themeColor="text1"/>
                <w:szCs w:val="21"/>
                <w14:textFill>
                  <w14:solidFill>
                    <w14:schemeClr w14:val="tx1"/>
                  </w14:solidFill>
                </w14:textFill>
              </w:rPr>
            </w:pPr>
          </w:p>
        </w:tc>
        <w:tc>
          <w:tcPr>
            <w:tcW w:w="1226" w:type="dxa"/>
          </w:tcPr>
          <w:p>
            <w:pPr>
              <w:spacing w:line="320" w:lineRule="exact"/>
              <w:rPr>
                <w:rFonts w:ascii="宋体" w:hAnsi="宋体"/>
                <w:color w:val="000000" w:themeColor="text1"/>
                <w:szCs w:val="21"/>
                <w14:textFill>
                  <w14:solidFill>
                    <w14:schemeClr w14:val="tx1"/>
                  </w14:solidFill>
                </w14:textFill>
              </w:rPr>
            </w:pPr>
          </w:p>
        </w:tc>
        <w:tc>
          <w:tcPr>
            <w:tcW w:w="746" w:type="dxa"/>
          </w:tcPr>
          <w:p>
            <w:pPr>
              <w:spacing w:line="320" w:lineRule="exact"/>
              <w:rPr>
                <w:rFonts w:ascii="宋体" w:hAnsi="宋体"/>
                <w:color w:val="000000" w:themeColor="text1"/>
                <w:szCs w:val="21"/>
                <w14:textFill>
                  <w14:solidFill>
                    <w14:schemeClr w14:val="tx1"/>
                  </w14:solidFill>
                </w14:textFill>
              </w:rPr>
            </w:pPr>
          </w:p>
        </w:tc>
        <w:tc>
          <w:tcPr>
            <w:tcW w:w="815" w:type="dxa"/>
          </w:tcPr>
          <w:p>
            <w:pPr>
              <w:spacing w:line="320" w:lineRule="exact"/>
              <w:rPr>
                <w:rFonts w:ascii="宋体" w:hAnsi="宋体"/>
                <w:color w:val="000000" w:themeColor="text1"/>
                <w:szCs w:val="21"/>
                <w14:textFill>
                  <w14:solidFill>
                    <w14:schemeClr w14:val="tx1"/>
                  </w14:solidFill>
                </w14:textFill>
              </w:rPr>
            </w:pPr>
          </w:p>
        </w:tc>
      </w:tr>
    </w:tbl>
    <w:p>
      <w:pPr>
        <w:tabs>
          <w:tab w:val="left" w:pos="284"/>
          <w:tab w:val="left" w:pos="10155"/>
        </w:tabs>
        <w:spacing w:line="320" w:lineRule="exact"/>
        <w:ind w:left="-141" w:leftChars="-67"/>
        <w:rPr>
          <w:rFonts w:ascii="仿宋_GB2312" w:hAnsi="宋体" w:eastAsia="仿宋_GB2312"/>
          <w:color w:val="000000" w:themeColor="text1"/>
          <w:sz w:val="22"/>
          <w:szCs w:val="22"/>
          <w14:textFill>
            <w14:solidFill>
              <w14:schemeClr w14:val="tx1"/>
            </w14:solidFill>
          </w14:textFill>
        </w:rPr>
      </w:pPr>
      <w:r>
        <w:rPr>
          <w:rFonts w:hint="eastAsia" w:ascii="仿宋_GB2312" w:hAnsi="宋体" w:eastAsia="仿宋_GB2312"/>
          <w:color w:val="000000" w:themeColor="text1"/>
          <w:sz w:val="22"/>
          <w:szCs w:val="22"/>
          <w14:textFill>
            <w14:solidFill>
              <w14:schemeClr w14:val="tx1"/>
            </w14:solidFill>
          </w14:textFill>
        </w:rPr>
        <w:t>说明：1.本细则主要用于高教系列职称评审教学测评。</w:t>
      </w:r>
    </w:p>
    <w:p>
      <w:pPr>
        <w:ind w:left="514" w:leftChars="245"/>
        <w:rPr>
          <w:rFonts w:ascii="仿宋_GB2312" w:hAnsi="宋体" w:eastAsia="仿宋_GB2312"/>
          <w:color w:val="000000" w:themeColor="text1"/>
          <w:sz w:val="22"/>
          <w:szCs w:val="22"/>
          <w14:textFill>
            <w14:solidFill>
              <w14:schemeClr w14:val="tx1"/>
            </w14:solidFill>
          </w14:textFill>
        </w:rPr>
      </w:pPr>
      <w:r>
        <w:rPr>
          <w:rFonts w:hint="eastAsia" w:ascii="仿宋_GB2312" w:hAnsi="宋体" w:eastAsia="仿宋_GB2312"/>
          <w:color w:val="000000" w:themeColor="text1"/>
          <w:sz w:val="22"/>
          <w:szCs w:val="22"/>
          <w14:textFill>
            <w14:solidFill>
              <w14:schemeClr w14:val="tx1"/>
            </w14:solidFill>
          </w14:textFill>
        </w:rPr>
        <w:t>2.测评只根据申报者提供的任现职以来的有效材料计分（证明材料或复印件均需由相应部门审核并签名、盖章，未签名或未盖章的均视为无效材料）。</w:t>
      </w:r>
    </w:p>
    <w:p>
      <w:pPr>
        <w:rPr>
          <w:rFonts w:ascii="仿宋_GB2312" w:hAnsi="宋体" w:eastAsia="仿宋_GB2312"/>
          <w:color w:val="000000" w:themeColor="text1"/>
          <w:sz w:val="22"/>
          <w:szCs w:val="22"/>
          <w14:textFill>
            <w14:solidFill>
              <w14:schemeClr w14:val="tx1"/>
            </w14:solidFill>
          </w14:textFill>
        </w:rPr>
      </w:pPr>
      <w:r>
        <w:rPr>
          <w:rFonts w:hint="eastAsia" w:ascii="仿宋_GB2312" w:hAnsi="宋体" w:eastAsia="仿宋_GB2312"/>
          <w:color w:val="000000" w:themeColor="text1"/>
          <w:sz w:val="22"/>
          <w:szCs w:val="22"/>
          <w14:textFill>
            <w14:solidFill>
              <w14:schemeClr w14:val="tx1"/>
            </w14:solidFill>
          </w14:textFill>
        </w:rPr>
        <w:t xml:space="preserve">     3.“评价内容”所对应的“分数”为本项评价的最高分，加分不超过本项最高分。</w:t>
      </w:r>
    </w:p>
    <w:p>
      <w:pPr>
        <w:rPr>
          <w:rFonts w:ascii="仿宋_GB2312" w:hAnsi="宋体" w:eastAsia="仿宋_GB2312"/>
          <w:color w:val="000000" w:themeColor="text1"/>
          <w:sz w:val="22"/>
          <w:szCs w:val="22"/>
          <w14:textFill>
            <w14:solidFill>
              <w14:schemeClr w14:val="tx1"/>
            </w14:solidFill>
          </w14:textFill>
        </w:rPr>
        <w:sectPr>
          <w:headerReference r:id="rId3" w:type="default"/>
          <w:pgSz w:w="23814" w:h="16839" w:orient="landscape"/>
          <w:pgMar w:top="1418" w:right="1134" w:bottom="1418" w:left="1134" w:header="851" w:footer="992" w:gutter="0"/>
          <w:pgNumType w:fmt="numberInDash"/>
          <w:cols w:space="720" w:num="1"/>
          <w:docGrid w:linePitch="312" w:charSpace="0"/>
        </w:sectPr>
      </w:pPr>
      <w:r>
        <w:rPr>
          <w:rFonts w:hint="eastAsia" w:ascii="仿宋_GB2312" w:hAnsi="宋体" w:eastAsia="仿宋_GB2312"/>
          <w:color w:val="000000" w:themeColor="text1"/>
          <w:sz w:val="22"/>
          <w:szCs w:val="22"/>
          <w14:textFill>
            <w14:solidFill>
              <w14:schemeClr w14:val="tx1"/>
            </w14:solidFill>
          </w14:textFill>
        </w:rPr>
        <w:t xml:space="preserve">     4.佐证材料一栏请注明材料所在页码。</w:t>
      </w:r>
    </w:p>
    <w:p>
      <w:pPr>
        <w:spacing w:line="600" w:lineRule="exact"/>
        <w:jc w:val="center"/>
        <w:rPr>
          <w:rFonts w:ascii="宋体" w:hAnsi="宋体"/>
          <w:color w:val="000000" w:themeColor="text1"/>
          <w:sz w:val="24"/>
          <w14:textFill>
            <w14:solidFill>
              <w14:schemeClr w14:val="tx1"/>
            </w14:solidFill>
          </w14:textFill>
        </w:rPr>
      </w:pPr>
      <w:r>
        <w:rPr>
          <w:rFonts w:hint="eastAsia" w:ascii="方正小标宋简体" w:hAnsi="宋体" w:eastAsia="方正小标宋简体"/>
          <w:color w:val="000000" w:themeColor="text1"/>
          <w:sz w:val="44"/>
          <w:szCs w:val="44"/>
          <w14:textFill>
            <w14:solidFill>
              <w14:schemeClr w14:val="tx1"/>
            </w14:solidFill>
          </w14:textFill>
        </w:rPr>
        <w:t>20</w:t>
      </w:r>
      <w:r>
        <w:rPr>
          <w:rFonts w:ascii="方正小标宋简体" w:hAnsi="宋体" w:eastAsia="方正小标宋简体"/>
          <w:color w:val="000000" w:themeColor="text1"/>
          <w:sz w:val="44"/>
          <w:szCs w:val="44"/>
          <w14:textFill>
            <w14:solidFill>
              <w14:schemeClr w14:val="tx1"/>
            </w14:solidFill>
          </w14:textFill>
        </w:rPr>
        <w:t>21</w:t>
      </w:r>
      <w:r>
        <w:rPr>
          <w:rFonts w:hint="eastAsia" w:ascii="方正小标宋简体" w:hAnsi="宋体" w:eastAsia="方正小标宋简体"/>
          <w:color w:val="000000" w:themeColor="text1"/>
          <w:sz w:val="44"/>
          <w:szCs w:val="44"/>
          <w14:textFill>
            <w14:solidFill>
              <w14:schemeClr w14:val="tx1"/>
            </w14:solidFill>
          </w14:textFill>
        </w:rPr>
        <w:t xml:space="preserve">年度职称评审科研测评细则 </w:t>
      </w:r>
      <w:r>
        <w:rPr>
          <w:rFonts w:ascii="方正小标宋简体" w:hAnsi="宋体" w:eastAsia="方正小标宋简体"/>
          <w:color w:val="000000" w:themeColor="text1"/>
          <w:sz w:val="44"/>
          <w:szCs w:val="44"/>
          <w14:textFill>
            <w14:solidFill>
              <w14:schemeClr w14:val="tx1"/>
            </w14:solidFill>
          </w14:textFill>
        </w:rPr>
        <w:t xml:space="preserve">  </w:t>
      </w:r>
    </w:p>
    <w:p>
      <w:pPr>
        <w:ind w:firstLine="600" w:firstLineChars="250"/>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姓名：</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陈璐</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申报专业技术职务：</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讲师</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申报分支专业：</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外国语言文学</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填报日期：</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2021.12.14</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p>
    <w:p>
      <w:pPr>
        <w:spacing w:line="240" w:lineRule="exact"/>
        <w:rPr>
          <w:rFonts w:ascii="宋体" w:hAnsi="宋体"/>
          <w:color w:val="000000" w:themeColor="text1"/>
          <w:sz w:val="24"/>
          <w14:textFill>
            <w14:solidFill>
              <w14:schemeClr w14:val="tx1"/>
            </w14:solidFill>
          </w14:textFill>
        </w:rPr>
      </w:pPr>
    </w:p>
    <w:tbl>
      <w:tblPr>
        <w:tblStyle w:val="5"/>
        <w:tblW w:w="22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733"/>
        <w:gridCol w:w="533"/>
        <w:gridCol w:w="528"/>
        <w:gridCol w:w="46"/>
        <w:gridCol w:w="523"/>
        <w:gridCol w:w="109"/>
        <w:gridCol w:w="475"/>
        <w:gridCol w:w="410"/>
        <w:gridCol w:w="109"/>
        <w:gridCol w:w="48"/>
        <w:gridCol w:w="286"/>
        <w:gridCol w:w="252"/>
        <w:gridCol w:w="155"/>
        <w:gridCol w:w="567"/>
        <w:gridCol w:w="425"/>
        <w:gridCol w:w="142"/>
        <w:gridCol w:w="632"/>
        <w:gridCol w:w="77"/>
        <w:gridCol w:w="570"/>
        <w:gridCol w:w="498"/>
        <w:gridCol w:w="375"/>
        <w:gridCol w:w="522"/>
        <w:gridCol w:w="778"/>
        <w:gridCol w:w="3604"/>
        <w:gridCol w:w="4665"/>
        <w:gridCol w:w="1245"/>
        <w:gridCol w:w="1701"/>
        <w:gridCol w:w="864"/>
        <w:gridCol w:w="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683"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r>
              <w:rPr>
                <w:rFonts w:hint="eastAsia"/>
                <w:b/>
                <w:color w:val="000000" w:themeColor="text1"/>
                <w:spacing w:val="-12"/>
                <w:szCs w:val="21"/>
                <w14:textFill>
                  <w14:solidFill>
                    <w14:schemeClr w14:val="tx1"/>
                  </w14:solidFill>
                </w14:textFill>
              </w:rPr>
              <w:t>一级</w:t>
            </w:r>
            <w:r>
              <w:rPr>
                <w:b/>
                <w:color w:val="000000" w:themeColor="text1"/>
                <w:spacing w:val="-12"/>
                <w:szCs w:val="21"/>
                <w14:textFill>
                  <w14:solidFill>
                    <w14:schemeClr w14:val="tx1"/>
                  </w14:solidFill>
                </w14:textFill>
              </w:rPr>
              <w:t xml:space="preserve"> </w:t>
            </w:r>
            <w:r>
              <w:rPr>
                <w:rFonts w:hint="eastAsia"/>
                <w:b/>
                <w:color w:val="000000" w:themeColor="text1"/>
                <w:spacing w:val="-12"/>
                <w:szCs w:val="21"/>
                <w14:textFill>
                  <w14:solidFill>
                    <w14:schemeClr w14:val="tx1"/>
                  </w14:solidFill>
                </w14:textFill>
              </w:rPr>
              <w:t>指标</w:t>
            </w:r>
          </w:p>
        </w:tc>
        <w:tc>
          <w:tcPr>
            <w:tcW w:w="733"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r>
              <w:rPr>
                <w:rFonts w:hint="eastAsia" w:ascii="宋体" w:hAnsi="宋体"/>
                <w:b/>
                <w:color w:val="000000" w:themeColor="text1"/>
                <w:spacing w:val="-12"/>
                <w:szCs w:val="21"/>
                <w14:textFill>
                  <w14:solidFill>
                    <w14:schemeClr w14:val="tx1"/>
                  </w14:solidFill>
                </w14:textFill>
              </w:rPr>
              <w:t>二级指标</w:t>
            </w:r>
          </w:p>
        </w:tc>
        <w:tc>
          <w:tcPr>
            <w:tcW w:w="533"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分数</w:t>
            </w:r>
          </w:p>
        </w:tc>
        <w:tc>
          <w:tcPr>
            <w:tcW w:w="7527" w:type="dxa"/>
            <w:gridSpan w:val="21"/>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评分标准</w:t>
            </w:r>
          </w:p>
        </w:tc>
        <w:tc>
          <w:tcPr>
            <w:tcW w:w="360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备注</w:t>
            </w:r>
          </w:p>
        </w:tc>
        <w:tc>
          <w:tcPr>
            <w:tcW w:w="4665"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佐证</w:t>
            </w:r>
          </w:p>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材料</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佐证材料页码</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分项自评分</w:t>
            </w:r>
          </w:p>
        </w:tc>
        <w:tc>
          <w:tcPr>
            <w:tcW w:w="864" w:type="dxa"/>
            <w:tcBorders>
              <w:top w:val="single" w:color="auto" w:sz="4" w:space="0"/>
              <w:left w:val="single" w:color="auto" w:sz="4" w:space="0"/>
              <w:bottom w:val="single" w:color="auto" w:sz="4" w:space="0"/>
              <w:right w:val="single" w:color="auto" w:sz="4" w:space="0"/>
            </w:tcBorders>
          </w:tcPr>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总自</w:t>
            </w:r>
          </w:p>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评分</w:t>
            </w:r>
          </w:p>
        </w:tc>
        <w:tc>
          <w:tcPr>
            <w:tcW w:w="837"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评委计分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jc w:val="center"/>
        </w:trPr>
        <w:tc>
          <w:tcPr>
            <w:tcW w:w="683" w:type="dxa"/>
            <w:vMerge w:val="restart"/>
            <w:tcBorders>
              <w:top w:val="single" w:color="auto" w:sz="4" w:space="0"/>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科研成果与业绩（100分）</w:t>
            </w:r>
          </w:p>
          <w:p>
            <w:pPr>
              <w:widowControl/>
              <w:jc w:val="left"/>
              <w:rPr>
                <w:rFonts w:ascii="仿宋_GB2312" w:eastAsia="仿宋_GB2312"/>
                <w:color w:val="000000" w:themeColor="text1"/>
                <w:szCs w:val="21"/>
                <w14:textFill>
                  <w14:solidFill>
                    <w14:schemeClr w14:val="tx1"/>
                  </w14:solidFill>
                </w14:textFill>
              </w:rPr>
            </w:pPr>
          </w:p>
          <w:p>
            <w:pPr>
              <w:jc w:val="left"/>
              <w:rPr>
                <w:rFonts w:ascii="仿宋_GB2312" w:eastAsia="仿宋_GB2312"/>
                <w:color w:val="000000" w:themeColor="text1"/>
                <w:szCs w:val="21"/>
                <w14:textFill>
                  <w14:solidFill>
                    <w14:schemeClr w14:val="tx1"/>
                  </w14:solidFill>
                </w14:textFill>
              </w:rPr>
            </w:pPr>
          </w:p>
        </w:tc>
        <w:tc>
          <w:tcPr>
            <w:tcW w:w="733" w:type="dxa"/>
            <w:vMerge w:val="restart"/>
            <w:tcBorders>
              <w:top w:val="single" w:color="auto" w:sz="4" w:space="0"/>
              <w:left w:val="single" w:color="auto" w:sz="4" w:space="0"/>
              <w:right w:val="single" w:color="auto" w:sz="4" w:space="0"/>
            </w:tcBorders>
            <w:vAlign w:val="center"/>
          </w:tcPr>
          <w:p>
            <w:pPr>
              <w:spacing w:line="20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论</w:t>
            </w:r>
          </w:p>
          <w:p>
            <w:pPr>
              <w:spacing w:line="20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文</w:t>
            </w:r>
          </w:p>
          <w:p>
            <w:pPr>
              <w:spacing w:line="200" w:lineRule="exact"/>
              <w:jc w:val="center"/>
              <w:rPr>
                <w:rFonts w:ascii="仿宋_GB2312"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和</w:t>
            </w:r>
          </w:p>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课</w:t>
            </w:r>
          </w:p>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题</w:t>
            </w:r>
          </w:p>
        </w:tc>
        <w:tc>
          <w:tcPr>
            <w:tcW w:w="533" w:type="dxa"/>
            <w:vMerge w:val="restart"/>
            <w:tcBorders>
              <w:top w:val="single" w:color="auto" w:sz="4" w:space="0"/>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r>
              <w:rPr>
                <w:rFonts w:ascii="仿宋_GB2312" w:eastAsia="仿宋_GB2312"/>
                <w:color w:val="000000" w:themeColor="text1"/>
                <w:szCs w:val="21"/>
                <w14:textFill>
                  <w14:solidFill>
                    <w14:schemeClr w14:val="tx1"/>
                  </w14:solidFill>
                </w14:textFill>
              </w:rPr>
              <w:t>70</w:t>
            </w:r>
          </w:p>
        </w:tc>
        <w:tc>
          <w:tcPr>
            <w:tcW w:w="3508" w:type="dxa"/>
            <w:gridSpan w:val="12"/>
            <w:tcBorders>
              <w:top w:val="single" w:color="auto" w:sz="4" w:space="0"/>
              <w:left w:val="single" w:color="auto" w:sz="4" w:space="0"/>
              <w:bottom w:val="single" w:color="auto" w:sz="4" w:space="0"/>
              <w:right w:val="single" w:color="auto" w:sz="4" w:space="0"/>
            </w:tcBorders>
            <w:vAlign w:val="center"/>
          </w:tcPr>
          <w:p>
            <w:pPr>
              <w:widowControl/>
              <w:tabs>
                <w:tab w:val="left" w:pos="380"/>
              </w:tabs>
              <w:spacing w:line="240" w:lineRule="exact"/>
              <w:jc w:val="lef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SCI、SSCI、A&amp;HCI收录；在《中国科学》、《科学通报》、《中国社会科学》期刊发表；《中国科学文摘》、《新华文摘》、《中国社会科学文摘》等期刊全文转载</w:t>
            </w:r>
          </w:p>
        </w:tc>
        <w:tc>
          <w:tcPr>
            <w:tcW w:w="2344" w:type="dxa"/>
            <w:gridSpan w:val="6"/>
            <w:tcBorders>
              <w:top w:val="single" w:color="auto" w:sz="4" w:space="0"/>
              <w:left w:val="single" w:color="auto" w:sz="4" w:space="0"/>
              <w:bottom w:val="single" w:color="auto" w:sz="4" w:space="0"/>
              <w:right w:val="single" w:color="auto" w:sz="4" w:space="0"/>
            </w:tcBorders>
            <w:vAlign w:val="center"/>
          </w:tcPr>
          <w:p>
            <w:pPr>
              <w:widowControl/>
              <w:tabs>
                <w:tab w:val="left" w:pos="380"/>
              </w:tabs>
              <w:spacing w:line="240" w:lineRule="exact"/>
              <w:jc w:val="lef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EI原刊、CSCD、CSSCI拓展库以上来源期刊发表；《中国人民大学复印报刊资料》全文转载；</w:t>
            </w:r>
            <w:r>
              <w:rPr>
                <w:rFonts w:hint="eastAsia" w:ascii="仿宋_GB2312" w:hAnsi="Arial" w:eastAsia="仿宋_GB2312" w:cs="Arial"/>
                <w:color w:val="000000" w:themeColor="text1"/>
                <w:shd w:val="clear" w:color="auto" w:fill="FFFFFF"/>
                <w14:textFill>
                  <w14:solidFill>
                    <w14:schemeClr w14:val="tx1"/>
                  </w14:solidFill>
                </w14:textFill>
              </w:rPr>
              <w:t>ISTP原刊</w:t>
            </w:r>
          </w:p>
        </w:tc>
        <w:tc>
          <w:tcPr>
            <w:tcW w:w="897"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380"/>
              </w:tabs>
              <w:spacing w:line="240" w:lineRule="exact"/>
              <w:jc w:val="lef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在北大中文核心期刊发表</w:t>
            </w:r>
          </w:p>
        </w:tc>
        <w:tc>
          <w:tcPr>
            <w:tcW w:w="77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color w:val="000000" w:themeColor="text1"/>
                <w:szCs w:val="21"/>
                <w14:textFill>
                  <w14:solidFill>
                    <w14:schemeClr w14:val="tx1"/>
                  </w14:solidFill>
                </w14:textFill>
              </w:rPr>
            </w:pPr>
            <w:r>
              <w:rPr>
                <w:rFonts w:hint="eastAsia" w:ascii="仿宋_GB2312" w:hAnsi="宋体" w:eastAsia="仿宋_GB2312" w:cs="宋体"/>
                <w:color w:val="000000" w:themeColor="text1"/>
                <w:kern w:val="0"/>
                <w:szCs w:val="21"/>
                <w14:textFill>
                  <w14:solidFill>
                    <w14:schemeClr w14:val="tx1"/>
                  </w14:solidFill>
                </w14:textFill>
              </w:rPr>
              <w:t>在一般学术期刊发表</w:t>
            </w:r>
          </w:p>
        </w:tc>
        <w:tc>
          <w:tcPr>
            <w:tcW w:w="360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1.独著或第一作者论文按100%计分，第二作者不计分。</w:t>
            </w:r>
          </w:p>
          <w:p>
            <w:pPr>
              <w:spacing w:line="240" w:lineRule="exac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2.论文刊物必须为学术期刊，刊物级别以当年认定为准。</w:t>
            </w:r>
          </w:p>
          <w:p>
            <w:pPr>
              <w:spacing w:line="240" w:lineRule="exact"/>
              <w:rPr>
                <w:rFonts w:ascii="仿宋_GB2312" w:eastAsia="仿宋_GB2312"/>
                <w:color w:val="000000" w:themeColor="text1"/>
                <w:szCs w:val="21"/>
                <w14:textFill>
                  <w14:solidFill>
                    <w14:schemeClr w14:val="tx1"/>
                  </w14:solidFill>
                </w14:textFill>
              </w:rPr>
            </w:pPr>
            <w:r>
              <w:rPr>
                <w:rFonts w:ascii="仿宋_GB2312" w:eastAsia="仿宋_GB2312"/>
                <w:color w:val="000000" w:themeColor="text1"/>
                <w:szCs w:val="21"/>
                <w14:textFill>
                  <w14:solidFill>
                    <w14:schemeClr w14:val="tx1"/>
                  </w14:solidFill>
                </w14:textFill>
              </w:rPr>
              <w:t>3.</w:t>
            </w:r>
            <w:r>
              <w:rPr>
                <w:rFonts w:hint="eastAsia" w:ascii="仿宋_GB2312" w:eastAsia="仿宋_GB2312"/>
                <w:color w:val="000000" w:themeColor="text1"/>
                <w:szCs w:val="21"/>
                <w14:textFill>
                  <w14:solidFill>
                    <w14:schemeClr w14:val="tx1"/>
                  </w14:solidFill>
                </w14:textFill>
              </w:rPr>
              <w:t>通讯作者视同第一作者。</w:t>
            </w:r>
          </w:p>
        </w:tc>
        <w:tc>
          <w:tcPr>
            <w:tcW w:w="4665"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《职称评审材料（二）》</w:t>
            </w:r>
          </w:p>
          <w:p>
            <w:pPr>
              <w:widowControl/>
              <w:jc w:val="left"/>
              <w:rPr>
                <w:rFonts w:hint="default" w:eastAsia="宋体"/>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论文、科研课题真实性查询证明</w:t>
            </w:r>
          </w:p>
        </w:tc>
        <w:tc>
          <w:tcPr>
            <w:tcW w:w="124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color w:val="000000" w:themeColor="text1"/>
                <w:szCs w:val="21"/>
                <w:lang w:val="en-US" w:eastAsia="zh-CN"/>
                <w14:textFill>
                  <w14:solidFill>
                    <w14:schemeClr w14:val="tx1"/>
                  </w14:solidFill>
                </w14:textFill>
              </w:rPr>
            </w:pPr>
            <w:r>
              <w:rPr>
                <w:rFonts w:hint="eastAsia"/>
                <w:b/>
                <w:color w:val="000000" w:themeColor="text1"/>
                <w:szCs w:val="21"/>
                <w:lang w:val="en-US" w:eastAsia="zh-CN"/>
                <w14:textFill>
                  <w14:solidFill>
                    <w14:schemeClr w14:val="tx1"/>
                  </w14:solidFill>
                </w14:textFill>
              </w:rPr>
              <w:t>P27</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w:t>
            </w:r>
          </w:p>
        </w:tc>
        <w:tc>
          <w:tcPr>
            <w:tcW w:w="864" w:type="dxa"/>
            <w:vMerge w:val="restart"/>
            <w:tcBorders>
              <w:top w:val="single" w:color="auto" w:sz="4" w:space="0"/>
              <w:left w:val="single" w:color="auto" w:sz="4" w:space="0"/>
              <w:right w:val="single" w:color="auto" w:sz="4" w:space="0"/>
            </w:tcBorders>
          </w:tcPr>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3" w:type="dxa"/>
            <w:vMerge w:val="continue"/>
            <w:tcBorders>
              <w:left w:val="single" w:color="auto" w:sz="4" w:space="0"/>
              <w:right w:val="single" w:color="auto" w:sz="4" w:space="0"/>
            </w:tcBorders>
            <w:vAlign w:val="center"/>
          </w:tcPr>
          <w:p>
            <w:pPr>
              <w:jc w:val="left"/>
              <w:rPr>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left"/>
              <w:rPr>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jc w:val="left"/>
              <w:rPr>
                <w:color w:val="000000" w:themeColor="text1"/>
                <w:szCs w:val="21"/>
                <w14:textFill>
                  <w14:solidFill>
                    <w14:schemeClr w14:val="tx1"/>
                  </w14:solidFill>
                </w14:textFill>
              </w:rPr>
            </w:pPr>
          </w:p>
        </w:tc>
        <w:tc>
          <w:tcPr>
            <w:tcW w:w="3508" w:type="dxa"/>
            <w:gridSpan w:val="12"/>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15</w:t>
            </w:r>
          </w:p>
        </w:tc>
        <w:tc>
          <w:tcPr>
            <w:tcW w:w="2344" w:type="dxa"/>
            <w:gridSpan w:val="6"/>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p>
        </w:tc>
        <w:tc>
          <w:tcPr>
            <w:tcW w:w="897"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7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Cs w:val="21"/>
                <w14:textFill>
                  <w14:solidFill>
                    <w14:schemeClr w14:val="tx1"/>
                  </w14:solidFill>
                </w14:textFill>
              </w:rPr>
            </w:pPr>
          </w:p>
          <w:p>
            <w:pPr>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p>
            <w:pPr>
              <w:rPr>
                <w:color w:val="000000" w:themeColor="text1"/>
                <w:szCs w:val="21"/>
                <w14:textFill>
                  <w14:solidFill>
                    <w14:schemeClr w14:val="tx1"/>
                  </w14:solidFill>
                </w14:textFill>
              </w:rPr>
            </w:pPr>
          </w:p>
        </w:tc>
        <w:tc>
          <w:tcPr>
            <w:tcW w:w="36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46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c>
          <w:tcPr>
            <w:tcW w:w="1245" w:type="dxa"/>
            <w:vMerge w:val="continue"/>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color w:val="000000" w:themeColor="text1"/>
                <w:sz w:val="24"/>
                <w:szCs w:val="24"/>
                <w:lang w:val="en-US" w:eastAsia="zh-CN"/>
                <w14:textFill>
                  <w14:solidFill>
                    <w14:schemeClr w14:val="tx1"/>
                  </w14:solidFill>
                </w14:textFill>
              </w:rPr>
            </w:pPr>
          </w:p>
        </w:tc>
        <w:tc>
          <w:tcPr>
            <w:tcW w:w="864" w:type="dxa"/>
            <w:vMerge w:val="continue"/>
            <w:tcBorders>
              <w:left w:val="single" w:color="auto" w:sz="4" w:space="0"/>
              <w:bottom w:val="single" w:color="auto" w:sz="4" w:space="0"/>
              <w:right w:val="single" w:color="auto" w:sz="4" w:space="0"/>
            </w:tcBorders>
          </w:tcPr>
          <w:p>
            <w:pPr>
              <w:spacing w:line="240" w:lineRule="atLeast"/>
              <w:jc w:val="center"/>
              <w:rPr>
                <w:rFonts w:hint="eastAsia"/>
                <w:color w:val="000000" w:themeColor="text1"/>
                <w:sz w:val="24"/>
                <w:szCs w:val="24"/>
                <w:lang w:val="en-US" w:eastAsia="zh-CN"/>
                <w14:textFill>
                  <w14:solidFill>
                    <w14:schemeClr w14:val="tx1"/>
                  </w14:solidFill>
                </w14:textFill>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jc w:val="center"/>
        </w:trPr>
        <w:tc>
          <w:tcPr>
            <w:tcW w:w="68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74" w:type="dxa"/>
            <w:gridSpan w:val="2"/>
            <w:tcBorders>
              <w:top w:val="single" w:color="auto" w:sz="4" w:space="0"/>
              <w:left w:val="single" w:color="auto" w:sz="4" w:space="0"/>
              <w:right w:val="single" w:color="auto" w:sz="4" w:space="0"/>
            </w:tcBorders>
            <w:vAlign w:val="center"/>
          </w:tcPr>
          <w:p>
            <w:pPr>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国家级</w:t>
            </w:r>
          </w:p>
        </w:tc>
        <w:tc>
          <w:tcPr>
            <w:tcW w:w="523" w:type="dxa"/>
            <w:tcBorders>
              <w:top w:val="single" w:color="auto" w:sz="4" w:space="0"/>
              <w:left w:val="single" w:color="auto" w:sz="4" w:space="0"/>
              <w:right w:val="single" w:color="auto" w:sz="4" w:space="0"/>
            </w:tcBorders>
            <w:vAlign w:val="center"/>
          </w:tcPr>
          <w:p>
            <w:pPr>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省部</w:t>
            </w:r>
            <w:r>
              <w:rPr>
                <w:rFonts w:ascii="仿宋_GB2312" w:hAnsi="宋体" w:eastAsia="仿宋_GB2312"/>
                <w:color w:val="000000" w:themeColor="text1"/>
                <w:szCs w:val="21"/>
                <w14:textFill>
                  <w14:solidFill>
                    <w14:schemeClr w14:val="tx1"/>
                  </w14:solidFill>
                </w14:textFill>
              </w:rPr>
              <w:t>级</w:t>
            </w:r>
          </w:p>
        </w:tc>
        <w:tc>
          <w:tcPr>
            <w:tcW w:w="584" w:type="dxa"/>
            <w:gridSpan w:val="2"/>
            <w:tcBorders>
              <w:top w:val="single" w:color="auto" w:sz="4" w:space="0"/>
              <w:left w:val="single" w:color="auto" w:sz="4" w:space="0"/>
              <w:right w:val="single" w:color="auto" w:sz="4" w:space="0"/>
            </w:tcBorders>
            <w:vAlign w:val="center"/>
          </w:tcPr>
          <w:p>
            <w:pPr>
              <w:ind w:left="-86" w:leftChars="-41" w:firstLine="86" w:firstLineChars="41"/>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市 （厅</w:t>
            </w:r>
            <w:r>
              <w:rPr>
                <w:rFonts w:ascii="仿宋_GB2312" w:hAnsi="宋体" w:eastAsia="仿宋_GB2312"/>
                <w:color w:val="000000" w:themeColor="text1"/>
                <w:szCs w:val="21"/>
                <w14:textFill>
                  <w14:solidFill>
                    <w14:schemeClr w14:val="tx1"/>
                  </w14:solidFill>
                </w14:textFill>
              </w:rPr>
              <w:t>级</w:t>
            </w:r>
            <w:r>
              <w:rPr>
                <w:rFonts w:hint="eastAsia" w:ascii="仿宋_GB2312" w:hAnsi="宋体" w:eastAsia="仿宋_GB2312"/>
                <w:color w:val="000000" w:themeColor="text1"/>
                <w:szCs w:val="21"/>
                <w14:textFill>
                  <w14:solidFill>
                    <w14:schemeClr w14:val="tx1"/>
                  </w14:solidFill>
                </w14:textFill>
              </w:rPr>
              <w:t>）</w:t>
            </w:r>
          </w:p>
        </w:tc>
        <w:tc>
          <w:tcPr>
            <w:tcW w:w="18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协（学）会课题</w:t>
            </w:r>
          </w:p>
        </w:tc>
        <w:tc>
          <w:tcPr>
            <w:tcW w:w="7623" w:type="dxa"/>
            <w:gridSpan w:val="10"/>
            <w:vMerge w:val="restart"/>
            <w:tcBorders>
              <w:left w:val="single" w:color="auto" w:sz="4" w:space="0"/>
              <w:right w:val="single" w:color="auto" w:sz="4" w:space="0"/>
            </w:tcBorders>
            <w:vAlign w:val="center"/>
          </w:tcPr>
          <w:p>
            <w:pPr>
              <w:widowControl/>
              <w:rPr>
                <w:rFonts w:hint="eastAsia" w:ascii="仿宋_GB2312" w:eastAsia="仿宋_GB2312"/>
                <w:color w:val="000000" w:themeColor="text1"/>
                <w:spacing w:val="-6"/>
                <w:sz w:val="18"/>
                <w:szCs w:val="18"/>
                <w14:textFill>
                  <w14:solidFill>
                    <w14:schemeClr w14:val="tx1"/>
                  </w14:solidFill>
                </w14:textFill>
              </w:rPr>
            </w:pPr>
            <w:r>
              <w:rPr>
                <w:rFonts w:hint="eastAsia" w:ascii="仿宋_GB2312" w:eastAsia="仿宋_GB2312"/>
                <w:color w:val="000000" w:themeColor="text1"/>
                <w:spacing w:val="-6"/>
                <w:sz w:val="18"/>
                <w:szCs w:val="18"/>
                <w14:textFill>
                  <w14:solidFill>
                    <w14:schemeClr w14:val="tx1"/>
                  </w14:solidFill>
                </w14:textFill>
              </w:rPr>
              <w:t>1.主持人按100%计分；参与国家级课题排名第2、3、4名的分别计4、3、2分，其余有效参与人均计1分；参与省部级课题排名第2、3、4名的分别计3、2、1分，其余有效参与人均计0.5分；参与厅级课题排名第2、3、4名的分别计2、1、0.5分，其余不计分。</w:t>
            </w:r>
          </w:p>
          <w:p>
            <w:pPr>
              <w:widowControl/>
              <w:rPr>
                <w:rFonts w:hint="eastAsia" w:ascii="仿宋_GB2312" w:eastAsia="仿宋_GB2312"/>
                <w:color w:val="000000" w:themeColor="text1"/>
                <w:spacing w:val="-6"/>
                <w:sz w:val="18"/>
                <w:szCs w:val="18"/>
                <w14:textFill>
                  <w14:solidFill>
                    <w14:schemeClr w14:val="tx1"/>
                  </w14:solidFill>
                </w14:textFill>
              </w:rPr>
            </w:pPr>
            <w:r>
              <w:rPr>
                <w:rFonts w:hint="eastAsia" w:ascii="仿宋_GB2312" w:eastAsia="仿宋_GB2312"/>
                <w:color w:val="000000" w:themeColor="text1"/>
                <w:spacing w:val="-6"/>
                <w:sz w:val="18"/>
                <w:szCs w:val="18"/>
                <w14:textFill>
                  <w14:solidFill>
                    <w14:schemeClr w14:val="tx1"/>
                  </w14:solidFill>
                </w14:textFill>
              </w:rPr>
              <w:t>2.参与校外课题需提交由申报单位科研处盖章的证明材料。</w:t>
            </w:r>
          </w:p>
          <w:p>
            <w:pPr>
              <w:widowControl/>
              <w:rPr>
                <w:rFonts w:hint="eastAsia" w:ascii="仿宋_GB2312" w:eastAsia="仿宋_GB2312"/>
                <w:color w:val="000000" w:themeColor="text1"/>
                <w:spacing w:val="-6"/>
                <w:sz w:val="18"/>
                <w:szCs w:val="18"/>
                <w14:textFill>
                  <w14:solidFill>
                    <w14:schemeClr w14:val="tx1"/>
                  </w14:solidFill>
                </w14:textFill>
              </w:rPr>
            </w:pPr>
            <w:r>
              <w:rPr>
                <w:rFonts w:hint="eastAsia" w:ascii="仿宋_GB2312" w:eastAsia="仿宋_GB2312"/>
                <w:color w:val="000000" w:themeColor="text1"/>
                <w:spacing w:val="-6"/>
                <w:sz w:val="18"/>
                <w:szCs w:val="18"/>
                <w14:textFill>
                  <w14:solidFill>
                    <w14:schemeClr w14:val="tx1"/>
                  </w14:solidFill>
                </w14:textFill>
              </w:rPr>
              <w:t>3.参与课题计分最多不超过2项。</w:t>
            </w:r>
          </w:p>
          <w:p>
            <w:pPr>
              <w:widowControl/>
              <w:rPr>
                <w:rFonts w:hint="eastAsia" w:ascii="仿宋_GB2312" w:eastAsia="仿宋_GB2312"/>
                <w:color w:val="000000" w:themeColor="text1"/>
                <w:spacing w:val="-6"/>
                <w:sz w:val="18"/>
                <w:szCs w:val="18"/>
                <w14:textFill>
                  <w14:solidFill>
                    <w14:schemeClr w14:val="tx1"/>
                  </w14:solidFill>
                </w14:textFill>
              </w:rPr>
            </w:pPr>
            <w:r>
              <w:rPr>
                <w:rFonts w:hint="eastAsia" w:ascii="仿宋_GB2312" w:eastAsia="仿宋_GB2312"/>
                <w:color w:val="000000" w:themeColor="text1"/>
                <w:spacing w:val="-6"/>
                <w:sz w:val="18"/>
                <w:szCs w:val="18"/>
                <w14:textFill>
                  <w14:solidFill>
                    <w14:schemeClr w14:val="tx1"/>
                  </w14:solidFill>
                </w14:textFill>
              </w:rPr>
              <w:t>4.已结题课题按上述评分标准的100%计分，未结题课题按70%计分，无故延期仍未结题课题不计分。</w:t>
            </w:r>
          </w:p>
          <w:p>
            <w:pPr>
              <w:widowControl/>
              <w:rPr>
                <w:rFonts w:hint="eastAsia" w:ascii="仿宋_GB2312" w:eastAsia="仿宋_GB2312"/>
                <w:color w:val="000000" w:themeColor="text1"/>
                <w:spacing w:val="-6"/>
                <w:sz w:val="18"/>
                <w:szCs w:val="18"/>
                <w14:textFill>
                  <w14:solidFill>
                    <w14:schemeClr w14:val="tx1"/>
                  </w14:solidFill>
                </w14:textFill>
              </w:rPr>
            </w:pPr>
            <w:r>
              <w:rPr>
                <w:rFonts w:hint="eastAsia" w:ascii="仿宋_GB2312" w:eastAsia="仿宋_GB2312"/>
                <w:color w:val="000000" w:themeColor="text1"/>
                <w:spacing w:val="-6"/>
                <w:sz w:val="18"/>
                <w:szCs w:val="18"/>
                <w14:textFill>
                  <w14:solidFill>
                    <w14:schemeClr w14:val="tx1"/>
                  </w14:solidFill>
                </w14:textFill>
              </w:rPr>
              <w:t>5.课题级别认定：2018年5月21日前立项的课题依湘商职院发（2014）29号文件认定，国家级：国家自科基金课题、国家社科基金课题、全国教育科学规划课题、教育部人文社科规划基金课题；省部级：教育部人文社科专项项目、省自科基金、省社科基金、省哲学社科成果评审委员会课题、省教育科学规划课题、省科技厅科技计划项目、省科技厅科普项目、中华供销合作总社课题、省教育教学改革研究项目；厅级：教育厅科学研究项目、省教育科学规划专项课题、省情与决策咨询课题、湖南省大学生思想道德素质提升工程项目和湖南省高教工委高校思想政治教育研究课题。2018年5月21日后立项的课题依湘商职院发（2018）43号文件认定，国家级：国家自科基金课题、国家社科基金课题、全国教育科学规划课题、教育部人文社科规划基金课题（青年基金项目）；省部级：教育部人文社科其他项目、国务院部委和全国供销合作总社课题、省自科基金项目、省社科基金项目、省哲学社科成果评审委员会课题、省教育科学规划课题、省情与决策咨询课题省、教育厅科学研究项目、省科技厅科技计划项目、省科技厅科普项目、省教育教学改革研究项目；厅级：各地市社科规划办和社科联下达的课题、湖南省大学生思想道德素质提升工程项目和湖南省高教工委高校思想政治教育研究课题。</w:t>
            </w:r>
          </w:p>
          <w:p>
            <w:pPr>
              <w:widowControl/>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 w:val="18"/>
                <w:szCs w:val="18"/>
                <w14:textFill>
                  <w14:solidFill>
                    <w14:schemeClr w14:val="tx1"/>
                  </w14:solidFill>
                </w14:textFill>
              </w:rPr>
              <w:t>其他不能明确界定的只认定其成果，不予课题计分。</w:t>
            </w:r>
          </w:p>
        </w:tc>
        <w:tc>
          <w:tcPr>
            <w:tcW w:w="4665" w:type="dxa"/>
            <w:vMerge w:val="restart"/>
            <w:tcBorders>
              <w:left w:val="single" w:color="auto" w:sz="4" w:space="0"/>
              <w:right w:val="single" w:color="auto" w:sz="4" w:space="0"/>
            </w:tcBorders>
            <w:vAlign w:val="center"/>
          </w:tcPr>
          <w:p>
            <w:pPr>
              <w:widowControl/>
              <w:jc w:val="left"/>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《职称评审材料（二）》</w:t>
            </w:r>
          </w:p>
          <w:p>
            <w:pPr>
              <w:widowControl/>
              <w:jc w:val="left"/>
              <w:rPr>
                <w:rFonts w:hint="default"/>
                <w:lang w:val="en-US" w:eastAsia="zh-CN"/>
              </w:rPr>
            </w:pP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论文、科研课题真实性查询证明</w:t>
            </w:r>
          </w:p>
        </w:tc>
        <w:tc>
          <w:tcPr>
            <w:tcW w:w="1245" w:type="dxa"/>
            <w:vMerge w:val="restart"/>
            <w:tcBorders>
              <w:left w:val="single" w:color="auto" w:sz="4" w:space="0"/>
              <w:right w:val="single" w:color="auto" w:sz="4" w:space="0"/>
            </w:tcBorders>
            <w:vAlign w:val="center"/>
          </w:tcPr>
          <w:p>
            <w:pPr>
              <w:jc w:val="center"/>
              <w:rPr>
                <w:rFonts w:hint="default" w:eastAsia="宋体"/>
                <w:b/>
                <w:color w:val="000000" w:themeColor="text1"/>
                <w:szCs w:val="21"/>
                <w:lang w:val="en-US" w:eastAsia="zh-CN"/>
                <w14:textFill>
                  <w14:solidFill>
                    <w14:schemeClr w14:val="tx1"/>
                  </w14:solidFill>
                </w14:textFill>
              </w:rPr>
            </w:pPr>
            <w:r>
              <w:rPr>
                <w:rFonts w:hint="eastAsia"/>
                <w:b/>
                <w:color w:val="000000" w:themeColor="text1"/>
                <w:szCs w:val="21"/>
                <w:lang w:val="en-US" w:eastAsia="zh-CN"/>
                <w14:textFill>
                  <w14:solidFill>
                    <w14:schemeClr w14:val="tx1"/>
                  </w14:solidFill>
                </w14:textFill>
              </w:rPr>
              <w:t>P27</w:t>
            </w:r>
          </w:p>
        </w:tc>
        <w:tc>
          <w:tcPr>
            <w:tcW w:w="1701" w:type="dxa"/>
            <w:vMerge w:val="restart"/>
            <w:tcBorders>
              <w:left w:val="single" w:color="auto" w:sz="4" w:space="0"/>
              <w:right w:val="single" w:color="auto" w:sz="4" w:space="0"/>
            </w:tcBorders>
            <w:vAlign w:val="center"/>
          </w:tcPr>
          <w:p>
            <w:pPr>
              <w:spacing w:line="240" w:lineRule="atLeast"/>
              <w:jc w:val="center"/>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2.1</w:t>
            </w:r>
          </w:p>
        </w:tc>
        <w:tc>
          <w:tcPr>
            <w:tcW w:w="864" w:type="dxa"/>
            <w:vMerge w:val="restart"/>
            <w:tcBorders>
              <w:left w:val="single" w:color="auto" w:sz="4" w:space="0"/>
              <w:right w:val="single" w:color="auto" w:sz="4" w:space="0"/>
            </w:tcBorders>
          </w:tcPr>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2.1</w:t>
            </w:r>
          </w:p>
        </w:tc>
        <w:tc>
          <w:tcPr>
            <w:tcW w:w="837" w:type="dxa"/>
            <w:vMerge w:val="restart"/>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jc w:val="center"/>
        </w:trPr>
        <w:tc>
          <w:tcPr>
            <w:tcW w:w="68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74" w:type="dxa"/>
            <w:gridSpan w:val="2"/>
            <w:tcBorders>
              <w:left w:val="single" w:color="auto" w:sz="4" w:space="0"/>
              <w:bottom w:val="single" w:color="auto" w:sz="4" w:space="0"/>
              <w:right w:val="single" w:color="auto" w:sz="4" w:space="0"/>
            </w:tcBorders>
            <w:vAlign w:val="center"/>
          </w:tcPr>
          <w:p>
            <w:pPr>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30</w:t>
            </w:r>
          </w:p>
        </w:tc>
        <w:tc>
          <w:tcPr>
            <w:tcW w:w="523" w:type="dxa"/>
            <w:tcBorders>
              <w:left w:val="single" w:color="auto" w:sz="4" w:space="0"/>
              <w:bottom w:val="single" w:color="auto" w:sz="4" w:space="0"/>
              <w:right w:val="single" w:color="auto" w:sz="4" w:space="0"/>
            </w:tcBorders>
            <w:vAlign w:val="center"/>
          </w:tcPr>
          <w:p>
            <w:pPr>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10</w:t>
            </w:r>
          </w:p>
        </w:tc>
        <w:tc>
          <w:tcPr>
            <w:tcW w:w="584" w:type="dxa"/>
            <w:gridSpan w:val="2"/>
            <w:tcBorders>
              <w:left w:val="single" w:color="auto" w:sz="4" w:space="0"/>
              <w:bottom w:val="single" w:color="auto" w:sz="4" w:space="0"/>
              <w:right w:val="single" w:color="auto" w:sz="4" w:space="0"/>
            </w:tcBorders>
            <w:vAlign w:val="center"/>
          </w:tcPr>
          <w:p>
            <w:pPr>
              <w:ind w:left="-86" w:leftChars="-41" w:firstLine="86" w:firstLineChars="41"/>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5</w:t>
            </w:r>
          </w:p>
        </w:tc>
        <w:tc>
          <w:tcPr>
            <w:tcW w:w="18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3</w:t>
            </w:r>
            <w:r>
              <w:rPr>
                <w:rFonts w:hint="eastAsia" w:ascii="仿宋_GB2312" w:hAnsi="宋体" w:eastAsia="仿宋_GB2312"/>
                <w:color w:val="000000" w:themeColor="text1"/>
                <w:szCs w:val="21"/>
                <w14:textFill>
                  <w14:solidFill>
                    <w14:schemeClr w14:val="tx1"/>
                  </w14:solidFill>
                </w14:textFill>
              </w:rPr>
              <w:t>（参评正副教授不计分、讲师计分）</w:t>
            </w:r>
          </w:p>
        </w:tc>
        <w:tc>
          <w:tcPr>
            <w:tcW w:w="7623" w:type="dxa"/>
            <w:gridSpan w:val="10"/>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pacing w:val="-6"/>
                <w:szCs w:val="21"/>
                <w14:textFill>
                  <w14:solidFill>
                    <w14:schemeClr w14:val="tx1"/>
                  </w14:solidFill>
                </w14:textFill>
              </w:rPr>
            </w:pPr>
          </w:p>
        </w:tc>
        <w:tc>
          <w:tcPr>
            <w:tcW w:w="466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left w:val="single" w:color="auto" w:sz="4" w:space="0"/>
              <w:right w:val="single" w:color="auto" w:sz="4" w:space="0"/>
            </w:tcBorders>
            <w:vAlign w:val="center"/>
          </w:tcPr>
          <w:p>
            <w:pPr>
              <w:spacing w:line="240" w:lineRule="atLeast"/>
              <w:jc w:val="center"/>
              <w:rPr>
                <w:rFonts w:hint="eastAsia"/>
                <w:color w:val="000000" w:themeColor="text1"/>
                <w:sz w:val="24"/>
                <w:szCs w:val="24"/>
                <w:lang w:val="en-US" w:eastAsia="zh-CN"/>
                <w14:textFill>
                  <w14:solidFill>
                    <w14:schemeClr w14:val="tx1"/>
                  </w14:solidFill>
                </w14:textFill>
              </w:rPr>
            </w:pPr>
          </w:p>
        </w:tc>
        <w:tc>
          <w:tcPr>
            <w:tcW w:w="864" w:type="dxa"/>
            <w:vMerge w:val="continue"/>
            <w:tcBorders>
              <w:left w:val="single" w:color="auto" w:sz="4" w:space="0"/>
              <w:right w:val="single" w:color="auto" w:sz="4" w:space="0"/>
            </w:tcBorders>
          </w:tcPr>
          <w:p>
            <w:pPr>
              <w:spacing w:line="240" w:lineRule="atLeast"/>
              <w:jc w:val="center"/>
              <w:rPr>
                <w:rFonts w:hint="eastAsia"/>
                <w:color w:val="000000" w:themeColor="text1"/>
                <w:sz w:val="24"/>
                <w:szCs w:val="24"/>
                <w:lang w:val="en-US" w:eastAsia="zh-CN"/>
                <w14:textFill>
                  <w14:solidFill>
                    <w14:schemeClr w14:val="tx1"/>
                  </w14:solidFill>
                </w14:textFill>
              </w:rPr>
            </w:pPr>
          </w:p>
        </w:tc>
        <w:tc>
          <w:tcPr>
            <w:tcW w:w="837"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83" w:type="dxa"/>
            <w:vMerge w:val="restart"/>
            <w:tcBorders>
              <w:top w:val="single" w:color="auto" w:sz="4" w:space="0"/>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科研成果与业绩（100分）</w:t>
            </w:r>
          </w:p>
          <w:p>
            <w:pPr>
              <w:jc w:val="center"/>
              <w:rPr>
                <w:rFonts w:ascii="仿宋_GB2312" w:eastAsia="仿宋_GB2312"/>
                <w:color w:val="000000" w:themeColor="text1"/>
                <w:szCs w:val="21"/>
                <w14:textFill>
                  <w14:solidFill>
                    <w14:schemeClr w14:val="tx1"/>
                  </w14:solidFill>
                </w14:textFill>
              </w:rPr>
            </w:pPr>
          </w:p>
        </w:tc>
        <w:tc>
          <w:tcPr>
            <w:tcW w:w="733"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33" w:type="dxa"/>
            <w:vMerge w:val="restart"/>
            <w:tcBorders>
              <w:left w:val="single" w:color="auto" w:sz="4" w:space="0"/>
              <w:right w:val="single" w:color="auto" w:sz="4" w:space="0"/>
            </w:tcBorders>
            <w:vAlign w:val="center"/>
          </w:tcPr>
          <w:p>
            <w:pPr>
              <w:rPr>
                <w:rFonts w:ascii="仿宋_GB2312" w:eastAsia="仿宋_GB2312"/>
                <w:color w:val="000000" w:themeColor="text1"/>
                <w:sz w:val="11"/>
                <w:szCs w:val="11"/>
                <w14:textFill>
                  <w14:solidFill>
                    <w14:schemeClr w14:val="tx1"/>
                  </w14:solidFill>
                </w14:textFill>
              </w:rPr>
            </w:pPr>
          </w:p>
        </w:tc>
        <w:tc>
          <w:tcPr>
            <w:tcW w:w="6227" w:type="dxa"/>
            <w:gridSpan w:val="19"/>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（2）横向课题项目</w:t>
            </w:r>
          </w:p>
        </w:tc>
        <w:tc>
          <w:tcPr>
            <w:tcW w:w="4904" w:type="dxa"/>
            <w:gridSpan w:val="3"/>
            <w:vMerge w:val="restart"/>
            <w:tcBorders>
              <w:top w:val="single" w:color="auto" w:sz="4" w:space="0"/>
              <w:left w:val="single" w:color="auto" w:sz="4" w:space="0"/>
              <w:right w:val="single" w:color="auto" w:sz="4" w:space="0"/>
            </w:tcBorders>
            <w:vAlign w:val="center"/>
          </w:tcPr>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1.横向课题，主持人独立完成的记100%；多人集体完成的，主持人记70%，其他参与人按30%平均分配。到账经费向下取整，如5.8万元计5万区间计分。</w:t>
            </w:r>
          </w:p>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2.横向课题可累加，教学型、教学科研型总计不超过20分，双师双能型此项不限额。</w:t>
            </w:r>
          </w:p>
          <w:p>
            <w:pPr>
              <w:spacing w:line="280" w:lineRule="exact"/>
              <w:rPr>
                <w:rFonts w:ascii="仿宋_GB2312" w:eastAsia="仿宋_GB2312"/>
                <w:color w:val="000000" w:themeColor="text1"/>
                <w:spacing w:val="-6"/>
                <w:szCs w:val="21"/>
                <w14:textFill>
                  <w14:solidFill>
                    <w14:schemeClr w14:val="tx1"/>
                  </w14:solidFill>
                </w14:textFill>
              </w:rPr>
            </w:pPr>
          </w:p>
        </w:tc>
        <w:tc>
          <w:tcPr>
            <w:tcW w:w="4665" w:type="dxa"/>
            <w:vMerge w:val="restart"/>
            <w:tcBorders>
              <w:top w:val="single" w:color="auto" w:sz="4" w:space="0"/>
              <w:left w:val="single" w:color="auto" w:sz="4" w:space="0"/>
              <w:bottom w:val="single" w:color="auto" w:sz="4" w:space="0"/>
              <w:right w:val="single" w:color="auto" w:sz="4" w:space="0"/>
            </w:tcBorders>
            <w:vAlign w:val="center"/>
          </w:tcPr>
          <w:p>
            <w:pPr>
              <w:jc w:val="left"/>
              <w:rPr>
                <w:rFonts w:hint="default" w:ascii="仿宋_GB2312" w:eastAsia="仿宋_GB2312"/>
                <w:color w:val="000000" w:themeColor="text1"/>
                <w:szCs w:val="21"/>
                <w:lang w:val="en-US" w:eastAsia="zh-CN"/>
                <w14:textFill>
                  <w14:solidFill>
                    <w14:schemeClr w14:val="tx1"/>
                  </w14:solidFill>
                </w14:textFill>
              </w:rPr>
            </w:pPr>
          </w:p>
        </w:tc>
        <w:tc>
          <w:tcPr>
            <w:tcW w:w="1245"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szCs w:val="21"/>
                <w14:textFill>
                  <w14:solidFill>
                    <w14:schemeClr w14:val="tx1"/>
                  </w14:solidFill>
                </w14:textFill>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color w:val="000000" w:themeColor="text1"/>
                <w:sz w:val="24"/>
                <w:szCs w:val="24"/>
                <w:lang w:val="en-US" w:eastAsia="zh-CN"/>
                <w14:textFill>
                  <w14:solidFill>
                    <w14:schemeClr w14:val="tx1"/>
                  </w14:solidFill>
                </w14:textFill>
              </w:rPr>
            </w:pPr>
          </w:p>
        </w:tc>
        <w:tc>
          <w:tcPr>
            <w:tcW w:w="864" w:type="dxa"/>
            <w:vMerge w:val="restart"/>
            <w:tcBorders>
              <w:top w:val="single" w:color="auto" w:sz="4" w:space="0"/>
              <w:left w:val="single" w:color="auto" w:sz="4" w:space="0"/>
              <w:right w:val="single" w:color="auto" w:sz="4" w:space="0"/>
            </w:tcBorders>
          </w:tcPr>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eastAsia"/>
                <w:color w:val="000000" w:themeColor="text1"/>
                <w:sz w:val="24"/>
                <w:szCs w:val="24"/>
                <w:lang w:val="en-US" w:eastAsia="zh-CN"/>
                <w14:textFill>
                  <w14:solidFill>
                    <w14:schemeClr w14:val="tx1"/>
                  </w14:solidFill>
                </w14:textFill>
              </w:rPr>
            </w:pPr>
          </w:p>
          <w:p>
            <w:pPr>
              <w:spacing w:line="240" w:lineRule="atLeast"/>
              <w:jc w:val="center"/>
              <w:rPr>
                <w:rFonts w:hint="default"/>
                <w:color w:val="000000" w:themeColor="text1"/>
                <w:sz w:val="24"/>
                <w:szCs w:val="24"/>
                <w:lang w:val="en-US" w:eastAsia="zh-CN"/>
                <w14:textFill>
                  <w14:solidFill>
                    <w14:schemeClr w14:val="tx1"/>
                  </w14:solidFill>
                </w14:textFill>
              </w:rPr>
            </w:pP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10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color w:val="000000" w:themeColor="text1"/>
                <w:sz w:val="16"/>
                <w:szCs w:val="16"/>
                <w14:textFill>
                  <w14:solidFill>
                    <w14:schemeClr w14:val="tx1"/>
                  </w14:solidFill>
                </w14:textFill>
              </w:rPr>
            </w:pPr>
            <w:r>
              <w:rPr>
                <w:rFonts w:hint="eastAsia" w:ascii="仿宋_GB2312" w:eastAsia="仿宋_GB2312"/>
                <w:color w:val="000000" w:themeColor="text1"/>
                <w:sz w:val="16"/>
                <w:szCs w:val="16"/>
                <w14:textFill>
                  <w14:solidFill>
                    <w14:schemeClr w14:val="tx1"/>
                  </w14:solidFill>
                </w14:textFill>
              </w:rPr>
              <w:t>50万元以上</w:t>
            </w:r>
          </w:p>
        </w:tc>
        <w:tc>
          <w:tcPr>
            <w:tcW w:w="1151"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color w:val="000000" w:themeColor="text1"/>
                <w:sz w:val="16"/>
                <w:szCs w:val="16"/>
                <w14:textFill>
                  <w14:solidFill>
                    <w14:schemeClr w14:val="tx1"/>
                  </w14:solidFill>
                </w14:textFill>
              </w:rPr>
            </w:pPr>
            <w:r>
              <w:rPr>
                <w:rFonts w:hint="eastAsia" w:ascii="仿宋_GB2312" w:eastAsia="仿宋_GB2312"/>
                <w:color w:val="000000" w:themeColor="text1"/>
                <w:sz w:val="16"/>
                <w:szCs w:val="16"/>
                <w14:textFill>
                  <w14:solidFill>
                    <w14:schemeClr w14:val="tx1"/>
                  </w14:solidFill>
                </w14:textFill>
              </w:rPr>
              <w:t>21-50万元（含50万元）</w:t>
            </w:r>
          </w:p>
        </w:tc>
        <w:tc>
          <w:tcPr>
            <w:tcW w:w="1260"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color w:val="000000" w:themeColor="text1"/>
                <w:sz w:val="16"/>
                <w:szCs w:val="16"/>
                <w14:textFill>
                  <w14:solidFill>
                    <w14:schemeClr w14:val="tx1"/>
                  </w14:solidFill>
                </w14:textFill>
              </w:rPr>
            </w:pPr>
            <w:r>
              <w:rPr>
                <w:rFonts w:hint="eastAsia" w:ascii="仿宋_GB2312" w:eastAsia="仿宋_GB2312"/>
                <w:color w:val="000000" w:themeColor="text1"/>
                <w:sz w:val="16"/>
                <w:szCs w:val="16"/>
                <w14:textFill>
                  <w14:solidFill>
                    <w14:schemeClr w14:val="tx1"/>
                  </w14:solidFill>
                </w14:textFill>
              </w:rPr>
              <w:t>11-20万元（含20万元）</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color w:val="000000" w:themeColor="text1"/>
                <w:sz w:val="16"/>
                <w:szCs w:val="16"/>
                <w14:textFill>
                  <w14:solidFill>
                    <w14:schemeClr w14:val="tx1"/>
                  </w14:solidFill>
                </w14:textFill>
              </w:rPr>
            </w:pPr>
            <w:r>
              <w:rPr>
                <w:rFonts w:hint="eastAsia" w:ascii="仿宋_GB2312" w:eastAsia="仿宋_GB2312"/>
                <w:color w:val="000000" w:themeColor="text1"/>
                <w:sz w:val="16"/>
                <w:szCs w:val="16"/>
                <w14:textFill>
                  <w14:solidFill>
                    <w14:schemeClr w14:val="tx1"/>
                  </w14:solidFill>
                </w14:textFill>
              </w:rPr>
              <w:t>6-10万元（含10万元）</w:t>
            </w:r>
          </w:p>
        </w:tc>
        <w:tc>
          <w:tcPr>
            <w:tcW w:w="1443"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color w:val="000000" w:themeColor="text1"/>
                <w:sz w:val="16"/>
                <w:szCs w:val="16"/>
                <w14:textFill>
                  <w14:solidFill>
                    <w14:schemeClr w14:val="tx1"/>
                  </w14:solidFill>
                </w14:textFill>
              </w:rPr>
            </w:pPr>
            <w:r>
              <w:rPr>
                <w:rFonts w:hint="eastAsia" w:ascii="仿宋_GB2312" w:eastAsia="仿宋_GB2312"/>
                <w:color w:val="000000" w:themeColor="text1"/>
                <w:sz w:val="16"/>
                <w:szCs w:val="16"/>
                <w14:textFill>
                  <w14:solidFill>
                    <w14:schemeClr w14:val="tx1"/>
                  </w14:solidFill>
                </w14:textFill>
              </w:rPr>
              <w:t>1-5万元（含5万元）</w:t>
            </w:r>
          </w:p>
        </w:tc>
        <w:tc>
          <w:tcPr>
            <w:tcW w:w="4904" w:type="dxa"/>
            <w:gridSpan w:val="3"/>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pacing w:val="-6"/>
                <w:szCs w:val="21"/>
                <w14:textFill>
                  <w14:solidFill>
                    <w14:schemeClr w14:val="tx1"/>
                  </w14:solidFill>
                </w14:textFill>
              </w:rPr>
            </w:pPr>
          </w:p>
        </w:tc>
        <w:tc>
          <w:tcPr>
            <w:tcW w:w="466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themeColor="text1"/>
                <w:szCs w:val="21"/>
                <w14:textFill>
                  <w14:solidFill>
                    <w14:schemeClr w14:val="tx1"/>
                  </w14:solidFill>
                </w14:textFill>
              </w:rPr>
            </w:pPr>
          </w:p>
        </w:tc>
        <w:tc>
          <w:tcPr>
            <w:tcW w:w="124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color w:val="000000" w:themeColor="text1"/>
                <w:sz w:val="24"/>
                <w:szCs w:val="24"/>
                <w:lang w:val="en-US" w:eastAsia="zh-CN"/>
                <w14:textFill>
                  <w14:solidFill>
                    <w14:schemeClr w14:val="tx1"/>
                  </w14:solidFill>
                </w14:textFill>
              </w:rPr>
            </w:pPr>
          </w:p>
        </w:tc>
        <w:tc>
          <w:tcPr>
            <w:tcW w:w="864" w:type="dxa"/>
            <w:vMerge w:val="continue"/>
            <w:tcBorders>
              <w:left w:val="single" w:color="auto" w:sz="4" w:space="0"/>
              <w:right w:val="single" w:color="auto" w:sz="4" w:space="0"/>
            </w:tcBorders>
          </w:tcPr>
          <w:p>
            <w:pPr>
              <w:spacing w:line="240" w:lineRule="atLeast"/>
              <w:jc w:val="center"/>
              <w:rPr>
                <w:rFonts w:hint="eastAsia"/>
                <w:color w:val="000000" w:themeColor="text1"/>
                <w:sz w:val="24"/>
                <w:szCs w:val="24"/>
                <w:lang w:val="en-US" w:eastAsia="zh-CN"/>
                <w14:textFill>
                  <w14:solidFill>
                    <w14:schemeClr w14:val="tx1"/>
                  </w14:solidFill>
                </w14:textFill>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097"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10</w:t>
            </w:r>
          </w:p>
        </w:tc>
        <w:tc>
          <w:tcPr>
            <w:tcW w:w="1151"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8</w:t>
            </w:r>
          </w:p>
        </w:tc>
        <w:tc>
          <w:tcPr>
            <w:tcW w:w="1260"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5</w:t>
            </w: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2</w:t>
            </w:r>
          </w:p>
        </w:tc>
        <w:tc>
          <w:tcPr>
            <w:tcW w:w="144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1</w:t>
            </w:r>
          </w:p>
        </w:tc>
        <w:tc>
          <w:tcPr>
            <w:tcW w:w="4904" w:type="dxa"/>
            <w:gridSpan w:val="3"/>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pacing w:val="-6"/>
                <w:szCs w:val="21"/>
                <w14:textFill>
                  <w14:solidFill>
                    <w14:schemeClr w14:val="tx1"/>
                  </w14:solidFill>
                </w14:textFill>
              </w:rPr>
            </w:pPr>
          </w:p>
        </w:tc>
        <w:tc>
          <w:tcPr>
            <w:tcW w:w="466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themeColor="text1"/>
                <w:szCs w:val="21"/>
                <w14:textFill>
                  <w14:solidFill>
                    <w14:schemeClr w14:val="tx1"/>
                  </w14:solidFill>
                </w14:textFill>
              </w:rPr>
            </w:pPr>
          </w:p>
        </w:tc>
        <w:tc>
          <w:tcPr>
            <w:tcW w:w="124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color w:val="000000" w:themeColor="text1"/>
                <w:sz w:val="24"/>
                <w:szCs w:val="24"/>
                <w:lang w:val="en-US" w:eastAsia="zh-CN"/>
                <w14:textFill>
                  <w14:solidFill>
                    <w14:schemeClr w14:val="tx1"/>
                  </w14:solidFill>
                </w14:textFill>
              </w:rPr>
            </w:pPr>
          </w:p>
        </w:tc>
        <w:tc>
          <w:tcPr>
            <w:tcW w:w="864" w:type="dxa"/>
            <w:vMerge w:val="continue"/>
            <w:tcBorders>
              <w:left w:val="single" w:color="auto" w:sz="4" w:space="0"/>
              <w:bottom w:val="single" w:color="auto" w:sz="4" w:space="0"/>
              <w:right w:val="single" w:color="auto" w:sz="4" w:space="0"/>
            </w:tcBorders>
          </w:tcPr>
          <w:p>
            <w:pPr>
              <w:spacing w:line="240" w:lineRule="atLeast"/>
              <w:jc w:val="center"/>
              <w:rPr>
                <w:rFonts w:hint="eastAsia"/>
                <w:color w:val="000000" w:themeColor="text1"/>
                <w:sz w:val="24"/>
                <w:szCs w:val="24"/>
                <w:lang w:val="en-US" w:eastAsia="zh-CN"/>
                <w14:textFill>
                  <w14:solidFill>
                    <w14:schemeClr w14:val="tx1"/>
                  </w14:solidFill>
                </w14:textFill>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restart"/>
            <w:tcBorders>
              <w:top w:val="single" w:color="auto" w:sz="4" w:space="0"/>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科研</w:t>
            </w:r>
          </w:p>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成果奖、专著及专利</w:t>
            </w:r>
          </w:p>
        </w:tc>
        <w:tc>
          <w:tcPr>
            <w:tcW w:w="533" w:type="dxa"/>
            <w:vMerge w:val="restart"/>
            <w:tcBorders>
              <w:top w:val="single" w:color="auto" w:sz="4" w:space="0"/>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ascii="仿宋_GB2312" w:eastAsia="仿宋_GB2312"/>
                <w:color w:val="000000" w:themeColor="text1"/>
                <w:szCs w:val="21"/>
                <w14:textFill>
                  <w14:solidFill>
                    <w14:schemeClr w14:val="tx1"/>
                  </w14:solidFill>
                </w14:textFill>
              </w:rPr>
              <w:t>30</w:t>
            </w:r>
          </w:p>
        </w:tc>
        <w:tc>
          <w:tcPr>
            <w:tcW w:w="6227" w:type="dxa"/>
            <w:gridSpan w:val="19"/>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（1）科研成果奖</w:t>
            </w:r>
          </w:p>
        </w:tc>
        <w:tc>
          <w:tcPr>
            <w:tcW w:w="4904" w:type="dxa"/>
            <w:gridSpan w:val="3"/>
            <w:vMerge w:val="restart"/>
            <w:tcBorders>
              <w:top w:val="single" w:color="auto" w:sz="4" w:space="0"/>
              <w:left w:val="single" w:color="auto" w:sz="4" w:space="0"/>
              <w:right w:val="single" w:color="auto" w:sz="4" w:space="0"/>
            </w:tcBorders>
            <w:vAlign w:val="center"/>
          </w:tcPr>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1.主持人计满分；排名第二及以后的参与者（非学院第一单位的成果奖需提交申报单位科研处盖章的证明材料），均按其排名前一名减半记分。</w:t>
            </w:r>
          </w:p>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2.参与获奖计分最多不超过5项。</w:t>
            </w:r>
          </w:p>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3.有效参与名次是指证书上所列名单。</w:t>
            </w:r>
          </w:p>
          <w:p>
            <w:pPr>
              <w:spacing w:line="280" w:lineRule="exac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4.国家级一级学会、协会等成果奖计分标准参照市级奖计分；省级一级学会一等奖参照院级计分。二级学会、协会等成果奖不计分。</w:t>
            </w:r>
          </w:p>
        </w:tc>
        <w:tc>
          <w:tcPr>
            <w:tcW w:w="4665" w:type="dxa"/>
            <w:vMerge w:val="restart"/>
            <w:tcBorders>
              <w:top w:val="single" w:color="auto" w:sz="4" w:space="0"/>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1245" w:type="dxa"/>
            <w:vMerge w:val="restart"/>
            <w:tcBorders>
              <w:top w:val="single" w:color="auto" w:sz="4" w:space="0"/>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1701" w:type="dxa"/>
            <w:vMerge w:val="restart"/>
            <w:tcBorders>
              <w:top w:val="single" w:color="auto" w:sz="4" w:space="0"/>
              <w:left w:val="single" w:color="auto" w:sz="4" w:space="0"/>
              <w:right w:val="single" w:color="auto" w:sz="4" w:space="0"/>
            </w:tcBorders>
            <w:vAlign w:val="center"/>
          </w:tcPr>
          <w:p>
            <w:pPr>
              <w:spacing w:line="240" w:lineRule="atLeast"/>
              <w:jc w:val="center"/>
              <w:rPr>
                <w:rFonts w:hint="eastAsia"/>
                <w:color w:val="000000" w:themeColor="text1"/>
                <w:sz w:val="24"/>
                <w:szCs w:val="24"/>
                <w:lang w:val="en-US" w:eastAsia="zh-CN"/>
                <w14:textFill>
                  <w14:solidFill>
                    <w14:schemeClr w14:val="tx1"/>
                  </w14:solidFill>
                </w14:textFill>
              </w:rPr>
            </w:pPr>
          </w:p>
        </w:tc>
        <w:tc>
          <w:tcPr>
            <w:tcW w:w="864" w:type="dxa"/>
            <w:vMerge w:val="restart"/>
            <w:tcBorders>
              <w:top w:val="single" w:color="auto" w:sz="4" w:space="0"/>
              <w:left w:val="single" w:color="auto" w:sz="4" w:space="0"/>
              <w:right w:val="single" w:color="auto" w:sz="4" w:space="0"/>
            </w:tcBorders>
          </w:tcPr>
          <w:p>
            <w:pPr>
              <w:spacing w:line="240" w:lineRule="atLeast"/>
              <w:jc w:val="center"/>
              <w:rPr>
                <w:rFonts w:hint="eastAsia"/>
                <w:color w:val="000000" w:themeColor="text1"/>
                <w:sz w:val="24"/>
                <w:szCs w:val="24"/>
                <w:lang w:val="en-US" w:eastAsia="zh-CN"/>
                <w14:textFill>
                  <w14:solidFill>
                    <w14:schemeClr w14:val="tx1"/>
                  </w14:solidFill>
                </w14:textFill>
              </w:rPr>
            </w:pPr>
          </w:p>
        </w:tc>
        <w:tc>
          <w:tcPr>
            <w:tcW w:w="837" w:type="dxa"/>
            <w:vMerge w:val="restart"/>
            <w:tcBorders>
              <w:top w:val="single" w:color="auto" w:sz="4" w:space="0"/>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jc w:val="right"/>
              <w:rPr>
                <w:rFonts w:ascii="仿宋_GB2312" w:eastAsia="仿宋_GB2312"/>
                <w:color w:val="000000" w:themeColor="text1"/>
                <w:szCs w:val="21"/>
                <w14:textFill>
                  <w14:solidFill>
                    <w14:schemeClr w14:val="tx1"/>
                  </w14:solidFill>
                </w14:textFill>
              </w:rPr>
            </w:pPr>
          </w:p>
        </w:tc>
        <w:tc>
          <w:tcPr>
            <w:tcW w:w="1681"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国家奖</w:t>
            </w:r>
          </w:p>
        </w:tc>
        <w:tc>
          <w:tcPr>
            <w:tcW w:w="18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省级奖</w:t>
            </w:r>
          </w:p>
        </w:tc>
        <w:tc>
          <w:tcPr>
            <w:tcW w:w="1846"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市级奖</w:t>
            </w:r>
          </w:p>
        </w:tc>
        <w:tc>
          <w:tcPr>
            <w:tcW w:w="87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right="-23" w:rightChars="-1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院级奖</w:t>
            </w:r>
          </w:p>
        </w:tc>
        <w:tc>
          <w:tcPr>
            <w:tcW w:w="4904" w:type="dxa"/>
            <w:gridSpan w:val="3"/>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466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1701" w:type="dxa"/>
            <w:vMerge w:val="continue"/>
            <w:tcBorders>
              <w:left w:val="single" w:color="auto" w:sz="4" w:space="0"/>
              <w:right w:val="single" w:color="auto" w:sz="4" w:space="0"/>
            </w:tcBorders>
            <w:vAlign w:val="center"/>
          </w:tcPr>
          <w:p>
            <w:pPr>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c>
          <w:tcPr>
            <w:tcW w:w="837"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528" w:type="dxa"/>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一</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二</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584"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一</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693"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二</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567" w:type="dxa"/>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一</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632" w:type="dxa"/>
            <w:tcBorders>
              <w:top w:val="single" w:color="auto" w:sz="4" w:space="0"/>
              <w:left w:val="single" w:color="auto" w:sz="4" w:space="0"/>
              <w:bottom w:val="single" w:color="auto" w:sz="4" w:space="0"/>
              <w:right w:val="single" w:color="auto" w:sz="4" w:space="0"/>
            </w:tcBorders>
            <w:vAlign w:val="center"/>
          </w:tcPr>
          <w:p>
            <w:pPr>
              <w:spacing w:line="240" w:lineRule="exact"/>
              <w:ind w:right="-23" w:rightChars="-1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二</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64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right="-23" w:rightChars="-1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87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一</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widowControl/>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4904" w:type="dxa"/>
            <w:gridSpan w:val="3"/>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1701" w:type="dxa"/>
            <w:vMerge w:val="continue"/>
            <w:tcBorders>
              <w:left w:val="single" w:color="auto" w:sz="4" w:space="0"/>
              <w:right w:val="single" w:color="auto" w:sz="4" w:space="0"/>
            </w:tcBorders>
            <w:vAlign w:val="center"/>
          </w:tcPr>
          <w:p>
            <w:pPr>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c>
          <w:tcPr>
            <w:tcW w:w="837"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52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30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20</w:t>
            </w:r>
          </w:p>
        </w:tc>
        <w:tc>
          <w:tcPr>
            <w:tcW w:w="584"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12</w:t>
            </w:r>
          </w:p>
        </w:tc>
        <w:tc>
          <w:tcPr>
            <w:tcW w:w="693" w:type="dxa"/>
            <w:gridSpan w:val="3"/>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4</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3</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2</w:t>
            </w:r>
          </w:p>
        </w:tc>
        <w:tc>
          <w:tcPr>
            <w:tcW w:w="64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w:t>
            </w:r>
          </w:p>
        </w:tc>
        <w:tc>
          <w:tcPr>
            <w:tcW w:w="87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w:t>
            </w:r>
          </w:p>
        </w:tc>
        <w:tc>
          <w:tcPr>
            <w:tcW w:w="4904" w:type="dxa"/>
            <w:gridSpan w:val="3"/>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bottom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3508" w:type="dxa"/>
            <w:gridSpan w:val="1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（2）</w:t>
            </w:r>
            <w:r>
              <w:rPr>
                <w:rFonts w:hint="eastAsia" w:ascii="仿宋_GB2312" w:eastAsia="仿宋_GB2312"/>
                <w:color w:val="000000" w:themeColor="text1"/>
                <w:szCs w:val="21"/>
                <w14:textFill>
                  <w14:solidFill>
                    <w14:schemeClr w14:val="tx1"/>
                  </w14:solidFill>
                </w14:textFill>
              </w:rPr>
              <w:t>艺术类、文艺类作品，</w:t>
            </w:r>
            <w:r>
              <w:rPr>
                <w:rFonts w:hint="eastAsia" w:ascii="仿宋_GB2312" w:eastAsia="仿宋_GB2312"/>
                <w:color w:val="000000" w:themeColor="text1"/>
                <w:spacing w:val="-6"/>
                <w:szCs w:val="21"/>
                <w14:textFill>
                  <w14:solidFill>
                    <w14:schemeClr w14:val="tx1"/>
                  </w14:solidFill>
                </w14:textFill>
              </w:rPr>
              <w:t>工艺类作品奖</w:t>
            </w:r>
          </w:p>
        </w:tc>
        <w:tc>
          <w:tcPr>
            <w:tcW w:w="7623" w:type="dxa"/>
            <w:gridSpan w:val="10"/>
            <w:vMerge w:val="restart"/>
            <w:tcBorders>
              <w:top w:val="single" w:color="auto" w:sz="4" w:space="0"/>
              <w:left w:val="single" w:color="auto" w:sz="4" w:space="0"/>
              <w:right w:val="single" w:color="auto" w:sz="4" w:space="0"/>
            </w:tcBorders>
            <w:vAlign w:val="center"/>
          </w:tcPr>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1.艺术类、文艺类作品独创或合创第一名在省级以上正式刊物发表；或参加行业组织的展览、竞赛，并获得表彰奖励，参展、参演、入围奖、优秀奖等均不纳入加分范畴。</w:t>
            </w:r>
          </w:p>
          <w:p>
            <w:pPr>
              <w:spacing w:line="280" w:lineRule="exac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2.工艺类作品通过参展或参赛获奖，多项作品获奖可累加计分，应邀参展未获奖作品不纳入加分范畴。</w:t>
            </w:r>
          </w:p>
        </w:tc>
        <w:tc>
          <w:tcPr>
            <w:tcW w:w="4665" w:type="dxa"/>
            <w:vMerge w:val="restart"/>
            <w:tcBorders>
              <w:top w:val="single" w:color="auto" w:sz="4" w:space="0"/>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1245" w:type="dxa"/>
            <w:vMerge w:val="restart"/>
            <w:tcBorders>
              <w:top w:val="single" w:color="auto" w:sz="4" w:space="0"/>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1701" w:type="dxa"/>
            <w:vMerge w:val="restart"/>
            <w:tcBorders>
              <w:top w:val="single" w:color="auto" w:sz="4" w:space="0"/>
              <w:left w:val="single" w:color="auto" w:sz="4" w:space="0"/>
              <w:right w:val="single" w:color="auto" w:sz="4" w:space="0"/>
            </w:tcBorders>
            <w:vAlign w:val="center"/>
          </w:tcPr>
          <w:p>
            <w:pPr>
              <w:rPr>
                <w:rFonts w:ascii="仿宋_GB2312" w:eastAsia="仿宋_GB2312"/>
                <w:color w:val="000000" w:themeColor="text1"/>
                <w:sz w:val="28"/>
                <w:szCs w:val="28"/>
                <w14:textFill>
                  <w14:solidFill>
                    <w14:schemeClr w14:val="tx1"/>
                  </w14:solidFill>
                </w14:textFill>
              </w:rPr>
            </w:pPr>
          </w:p>
        </w:tc>
        <w:tc>
          <w:tcPr>
            <w:tcW w:w="864" w:type="dxa"/>
            <w:vMerge w:val="restart"/>
            <w:tcBorders>
              <w:top w:val="single" w:color="auto" w:sz="4" w:space="0"/>
              <w:left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c>
          <w:tcPr>
            <w:tcW w:w="837" w:type="dxa"/>
            <w:vMerge w:val="restart"/>
            <w:tcBorders>
              <w:top w:val="single" w:color="auto" w:sz="4" w:space="0"/>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1681"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ind w:right="-23" w:rightChars="-1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国家奖</w:t>
            </w:r>
          </w:p>
        </w:tc>
        <w:tc>
          <w:tcPr>
            <w:tcW w:w="1105"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ind w:right="-23" w:rightChars="-1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省级奖</w:t>
            </w:r>
          </w:p>
        </w:tc>
        <w:tc>
          <w:tcPr>
            <w:tcW w:w="72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right="-23" w:rightChars="-1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市级奖</w:t>
            </w:r>
          </w:p>
        </w:tc>
        <w:tc>
          <w:tcPr>
            <w:tcW w:w="7623" w:type="dxa"/>
            <w:gridSpan w:val="10"/>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52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一等奖</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right="-23" w:rightChars="-1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二等奖</w:t>
            </w:r>
          </w:p>
        </w:tc>
        <w:tc>
          <w:tcPr>
            <w:tcW w:w="584"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一</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等</w:t>
            </w:r>
          </w:p>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奖</w:t>
            </w:r>
          </w:p>
        </w:tc>
        <w:tc>
          <w:tcPr>
            <w:tcW w:w="51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一等奖</w:t>
            </w:r>
          </w:p>
        </w:tc>
        <w:tc>
          <w:tcPr>
            <w:tcW w:w="586"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ind w:right="-23" w:rightChars="-1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二等奖</w:t>
            </w:r>
          </w:p>
        </w:tc>
        <w:tc>
          <w:tcPr>
            <w:tcW w:w="72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39" w:leftChars="-19" w:right="-23" w:rightChars="-11" w:hanging="1"/>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一等奖</w:t>
            </w:r>
          </w:p>
        </w:tc>
        <w:tc>
          <w:tcPr>
            <w:tcW w:w="7623" w:type="dxa"/>
            <w:gridSpan w:val="10"/>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52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4</w:t>
            </w:r>
          </w:p>
        </w:tc>
        <w:tc>
          <w:tcPr>
            <w:tcW w:w="5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w:t>
            </w:r>
          </w:p>
        </w:tc>
        <w:tc>
          <w:tcPr>
            <w:tcW w:w="51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3</w:t>
            </w:r>
          </w:p>
        </w:tc>
        <w:tc>
          <w:tcPr>
            <w:tcW w:w="5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2</w:t>
            </w:r>
          </w:p>
        </w:tc>
        <w:tc>
          <w:tcPr>
            <w:tcW w:w="72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ascii="仿宋_GB2312" w:eastAsia="仿宋_GB2312"/>
                <w:color w:val="000000" w:themeColor="text1"/>
                <w:szCs w:val="21"/>
                <w14:textFill>
                  <w14:solidFill>
                    <w14:schemeClr w14:val="tx1"/>
                  </w14:solidFill>
                </w14:textFill>
              </w:rPr>
              <w:t>1</w:t>
            </w:r>
          </w:p>
        </w:tc>
        <w:tc>
          <w:tcPr>
            <w:tcW w:w="7623" w:type="dxa"/>
            <w:gridSpan w:val="10"/>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bottom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3933" w:type="dxa"/>
            <w:gridSpan w:val="1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color w:val="000000" w:themeColor="text1"/>
                <w:szCs w:val="21"/>
                <w:shd w:val="clear" w:color="FFFFFF" w:fill="D9D9D9"/>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（3）专著</w:t>
            </w:r>
          </w:p>
        </w:tc>
        <w:tc>
          <w:tcPr>
            <w:tcW w:w="7198" w:type="dxa"/>
            <w:gridSpan w:val="9"/>
            <w:vMerge w:val="restart"/>
            <w:tcBorders>
              <w:left w:val="single" w:color="auto" w:sz="4" w:space="0"/>
              <w:right w:val="single" w:color="auto" w:sz="4" w:space="0"/>
            </w:tcBorders>
            <w:vAlign w:val="center"/>
          </w:tcPr>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1.a/b:a为第一作者和独著作者计分；b为参编总分，参编人数为n，则每人得分b/n。</w:t>
            </w:r>
          </w:p>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2.专著必须是经学术委员会认定的专著，字数要求15万字以上。</w:t>
            </w:r>
          </w:p>
        </w:tc>
        <w:tc>
          <w:tcPr>
            <w:tcW w:w="4665" w:type="dxa"/>
            <w:vMerge w:val="restart"/>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restart"/>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restart"/>
            <w:tcBorders>
              <w:left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restart"/>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209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专著</w:t>
            </w:r>
          </w:p>
        </w:tc>
        <w:tc>
          <w:tcPr>
            <w:tcW w:w="1842"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公开出版译著</w:t>
            </w:r>
          </w:p>
        </w:tc>
        <w:tc>
          <w:tcPr>
            <w:tcW w:w="7198" w:type="dxa"/>
            <w:gridSpan w:val="9"/>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209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10/5</w:t>
            </w:r>
          </w:p>
        </w:tc>
        <w:tc>
          <w:tcPr>
            <w:tcW w:w="1842"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5/2</w:t>
            </w:r>
          </w:p>
        </w:tc>
        <w:tc>
          <w:tcPr>
            <w:tcW w:w="7198" w:type="dxa"/>
            <w:gridSpan w:val="9"/>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bottom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5354" w:type="dxa"/>
            <w:gridSpan w:val="17"/>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（4）专利</w:t>
            </w:r>
          </w:p>
        </w:tc>
        <w:tc>
          <w:tcPr>
            <w:tcW w:w="5777" w:type="dxa"/>
            <w:gridSpan w:val="5"/>
            <w:vMerge w:val="restart"/>
            <w:tcBorders>
              <w:top w:val="single" w:color="auto" w:sz="4" w:space="0"/>
              <w:left w:val="single" w:color="auto" w:sz="4" w:space="0"/>
              <w:right w:val="single" w:color="auto" w:sz="4" w:space="0"/>
            </w:tcBorders>
            <w:vAlign w:val="center"/>
          </w:tcPr>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1、发明专利计前三位，按排名第一位计5分，后二各位计1分，其它专利和软件著作权只给排名第一人员计分且分值不超过5分。</w:t>
            </w:r>
          </w:p>
          <w:p>
            <w:pPr>
              <w:spacing w:line="280" w:lineRule="exac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2、成果转化：科研产品、知识产权（含国家发明专利、国家实用新型专利、外观设计专利、软件著作权等）转化为生产力，为区域经济发展创造了显著的经济效益和社会效益，被使用且有交易金额证明的。加分上限为5分。</w:t>
            </w:r>
          </w:p>
        </w:tc>
        <w:tc>
          <w:tcPr>
            <w:tcW w:w="4665" w:type="dxa"/>
            <w:vMerge w:val="restart"/>
            <w:tcBorders>
              <w:top w:val="single" w:color="auto" w:sz="4" w:space="0"/>
              <w:left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c>
          <w:tcPr>
            <w:tcW w:w="1245" w:type="dxa"/>
            <w:vMerge w:val="restart"/>
            <w:tcBorders>
              <w:top w:val="single" w:color="auto" w:sz="4" w:space="0"/>
              <w:left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c>
          <w:tcPr>
            <w:tcW w:w="1701"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olor w:val="000000" w:themeColor="text1"/>
                <w:sz w:val="28"/>
                <w:szCs w:val="28"/>
                <w14:textFill>
                  <w14:solidFill>
                    <w14:schemeClr w14:val="tx1"/>
                  </w14:solidFill>
                </w14:textFill>
              </w:rPr>
            </w:pPr>
          </w:p>
        </w:tc>
        <w:tc>
          <w:tcPr>
            <w:tcW w:w="864" w:type="dxa"/>
            <w:vMerge w:val="restart"/>
            <w:tcBorders>
              <w:top w:val="single" w:color="auto" w:sz="4" w:space="0"/>
              <w:left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c>
          <w:tcPr>
            <w:tcW w:w="837" w:type="dxa"/>
            <w:vMerge w:val="restart"/>
            <w:tcBorders>
              <w:top w:val="single" w:color="auto" w:sz="4" w:space="0"/>
              <w:left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1681"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发明专利</w:t>
            </w:r>
          </w:p>
        </w:tc>
        <w:tc>
          <w:tcPr>
            <w:tcW w:w="2394" w:type="dxa"/>
            <w:gridSpan w:val="9"/>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实用新型专利</w:t>
            </w:r>
          </w:p>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外观设计专利</w:t>
            </w:r>
          </w:p>
        </w:tc>
        <w:tc>
          <w:tcPr>
            <w:tcW w:w="1279"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软件著作权</w:t>
            </w:r>
          </w:p>
        </w:tc>
        <w:tc>
          <w:tcPr>
            <w:tcW w:w="5777" w:type="dxa"/>
            <w:gridSpan w:val="5"/>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8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1681"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5</w:t>
            </w:r>
          </w:p>
        </w:tc>
        <w:tc>
          <w:tcPr>
            <w:tcW w:w="2394"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w:t>
            </w:r>
          </w:p>
        </w:tc>
        <w:tc>
          <w:tcPr>
            <w:tcW w:w="1279"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w:t>
            </w:r>
          </w:p>
        </w:tc>
        <w:tc>
          <w:tcPr>
            <w:tcW w:w="5777" w:type="dxa"/>
            <w:gridSpan w:val="5"/>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bottom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83" w:type="dxa"/>
            <w:vMerge w:val="continue"/>
            <w:tcBorders>
              <w:left w:val="single" w:color="auto" w:sz="4" w:space="0"/>
              <w:right w:val="single" w:color="auto" w:sz="4" w:space="0"/>
            </w:tcBorders>
            <w:vAlign w:val="center"/>
          </w:tcPr>
          <w:p>
            <w:pPr>
              <w:widowControl/>
              <w:jc w:val="center"/>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rPr>
                <w:rFonts w:ascii="仿宋_GB2312" w:eastAsia="仿宋_GB2312"/>
                <w:color w:val="000000" w:themeColor="text1"/>
                <w:szCs w:val="21"/>
                <w14:textFill>
                  <w14:solidFill>
                    <w14:schemeClr w14:val="tx1"/>
                  </w14:solidFill>
                </w14:textFill>
              </w:rPr>
            </w:pPr>
          </w:p>
        </w:tc>
        <w:tc>
          <w:tcPr>
            <w:tcW w:w="3508" w:type="dxa"/>
            <w:gridSpan w:val="1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（5）标准</w:t>
            </w:r>
          </w:p>
        </w:tc>
        <w:tc>
          <w:tcPr>
            <w:tcW w:w="7623" w:type="dxa"/>
            <w:gridSpan w:val="10"/>
            <w:vMerge w:val="restart"/>
            <w:tcBorders>
              <w:top w:val="single" w:color="auto" w:sz="4" w:space="0"/>
              <w:left w:val="single" w:color="auto" w:sz="4" w:space="0"/>
              <w:bottom w:val="single" w:color="auto" w:sz="4" w:space="0"/>
              <w:right w:val="single" w:color="auto" w:sz="4" w:space="0"/>
            </w:tcBorders>
            <w:vAlign w:val="center"/>
          </w:tcPr>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1.已公开发布的标准计分。</w:t>
            </w:r>
          </w:p>
          <w:p>
            <w:pPr>
              <w:spacing w:line="280" w:lineRule="exac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2.主持人计满分，排名第二及以后的参与者，均按其排名前一名减半记分。</w:t>
            </w:r>
          </w:p>
        </w:tc>
        <w:tc>
          <w:tcPr>
            <w:tcW w:w="4665"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c>
          <w:tcPr>
            <w:tcW w:w="1245"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c>
          <w:tcPr>
            <w:tcW w:w="1701"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olor w:val="000000" w:themeColor="text1"/>
                <w:sz w:val="28"/>
                <w:szCs w:val="28"/>
                <w14:textFill>
                  <w14:solidFill>
                    <w14:schemeClr w14:val="tx1"/>
                  </w14:solidFill>
                </w14:textFill>
              </w:rPr>
            </w:pPr>
          </w:p>
        </w:tc>
        <w:tc>
          <w:tcPr>
            <w:tcW w:w="864" w:type="dxa"/>
            <w:vMerge w:val="restart"/>
            <w:tcBorders>
              <w:top w:val="single" w:color="auto" w:sz="4" w:space="0"/>
              <w:left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c>
          <w:tcPr>
            <w:tcW w:w="83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68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681"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国家级</w:t>
            </w:r>
          </w:p>
        </w:tc>
        <w:tc>
          <w:tcPr>
            <w:tcW w:w="18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省级</w:t>
            </w:r>
          </w:p>
        </w:tc>
        <w:tc>
          <w:tcPr>
            <w:tcW w:w="7623" w:type="dxa"/>
            <w:gridSpan w:val="10"/>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681"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5</w:t>
            </w:r>
          </w:p>
        </w:tc>
        <w:tc>
          <w:tcPr>
            <w:tcW w:w="182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3</w:t>
            </w:r>
          </w:p>
        </w:tc>
        <w:tc>
          <w:tcPr>
            <w:tcW w:w="7623" w:type="dxa"/>
            <w:gridSpan w:val="10"/>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 w:val="28"/>
                <w:szCs w:val="28"/>
                <w14:textFill>
                  <w14:solidFill>
                    <w14:schemeClr w14:val="tx1"/>
                  </w14:solidFill>
                </w14:textFill>
              </w:rPr>
            </w:pPr>
          </w:p>
        </w:tc>
        <w:tc>
          <w:tcPr>
            <w:tcW w:w="864" w:type="dxa"/>
            <w:vMerge w:val="continue"/>
            <w:tcBorders>
              <w:left w:val="single" w:color="auto" w:sz="4" w:space="0"/>
              <w:bottom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68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3508" w:type="dxa"/>
            <w:gridSpan w:val="1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（6）成果鉴定（或采用）</w:t>
            </w:r>
          </w:p>
        </w:tc>
        <w:tc>
          <w:tcPr>
            <w:tcW w:w="7623" w:type="dxa"/>
            <w:gridSpan w:val="10"/>
            <w:vMerge w:val="restart"/>
            <w:tcBorders>
              <w:top w:val="single" w:color="auto" w:sz="4" w:space="0"/>
              <w:left w:val="single" w:color="auto" w:sz="4" w:space="0"/>
              <w:right w:val="single" w:color="auto" w:sz="4" w:space="0"/>
            </w:tcBorders>
            <w:vAlign w:val="center"/>
          </w:tcPr>
          <w:p>
            <w:pPr>
              <w:spacing w:line="280" w:lineRule="exact"/>
              <w:rPr>
                <w:rFonts w:ascii="仿宋_GB2312" w:eastAsia="仿宋_GB2312"/>
                <w:color w:val="000000" w:themeColor="text1"/>
                <w:spacing w:val="-6"/>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1.主持人计满分，排名第二及以后的参与者，均按其排名前一名减半记分。</w:t>
            </w:r>
          </w:p>
          <w:p>
            <w:pPr>
              <w:spacing w:line="280" w:lineRule="exac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pacing w:val="-6"/>
                <w:szCs w:val="21"/>
                <w14:textFill>
                  <w14:solidFill>
                    <w14:schemeClr w14:val="tx1"/>
                  </w14:solidFill>
                </w14:textFill>
              </w:rPr>
              <w:t>2.成果鉴定单位需为学术机构，采用单位为政府部门。</w:t>
            </w:r>
          </w:p>
        </w:tc>
        <w:tc>
          <w:tcPr>
            <w:tcW w:w="4665" w:type="dxa"/>
            <w:vMerge w:val="restart"/>
            <w:tcBorders>
              <w:top w:val="single" w:color="auto" w:sz="4" w:space="0"/>
              <w:left w:val="single" w:color="auto" w:sz="4" w:space="0"/>
              <w:bottom w:val="single" w:color="auto" w:sz="4" w:space="0"/>
              <w:right w:val="single" w:color="auto" w:sz="4" w:space="0"/>
            </w:tcBorders>
          </w:tcPr>
          <w:p>
            <w:pPr>
              <w:rPr>
                <w:rFonts w:ascii="宋体" w:hAnsi="宋体" w:cs="宋体"/>
                <w:color w:val="000000" w:themeColor="text1"/>
                <w:szCs w:val="21"/>
                <w14:textFill>
                  <w14:solidFill>
                    <w14:schemeClr w14:val="tx1"/>
                  </w14:solidFill>
                </w14:textFill>
              </w:rPr>
            </w:pPr>
          </w:p>
        </w:tc>
        <w:tc>
          <w:tcPr>
            <w:tcW w:w="1245" w:type="dxa"/>
            <w:vMerge w:val="restart"/>
            <w:tcBorders>
              <w:top w:val="single" w:color="auto" w:sz="4" w:space="0"/>
              <w:left w:val="single" w:color="auto" w:sz="4" w:space="0"/>
              <w:bottom w:val="single" w:color="auto" w:sz="4" w:space="0"/>
              <w:right w:val="single" w:color="auto" w:sz="4" w:space="0"/>
            </w:tcBorders>
          </w:tcPr>
          <w:p>
            <w:pPr>
              <w:rPr>
                <w:rFonts w:ascii="宋体" w:hAnsi="宋体" w:cs="宋体"/>
                <w:color w:val="000000" w:themeColor="text1"/>
                <w:szCs w:val="21"/>
                <w14:textFill>
                  <w14:solidFill>
                    <w14:schemeClr w14:val="tx1"/>
                  </w14:solidFill>
                </w14:textFill>
              </w:rPr>
            </w:pPr>
          </w:p>
        </w:tc>
        <w:tc>
          <w:tcPr>
            <w:tcW w:w="1701"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olor w:val="000000" w:themeColor="text1"/>
                <w:sz w:val="28"/>
                <w:szCs w:val="28"/>
                <w14:textFill>
                  <w14:solidFill>
                    <w14:schemeClr w14:val="tx1"/>
                  </w14:solidFill>
                </w14:textFill>
              </w:rPr>
            </w:pPr>
          </w:p>
        </w:tc>
        <w:tc>
          <w:tcPr>
            <w:tcW w:w="864" w:type="dxa"/>
            <w:vMerge w:val="restart"/>
            <w:tcBorders>
              <w:top w:val="single" w:color="auto" w:sz="4" w:space="0"/>
              <w:left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c>
          <w:tcPr>
            <w:tcW w:w="83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8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0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国家级</w:t>
            </w:r>
          </w:p>
        </w:tc>
        <w:tc>
          <w:tcPr>
            <w:tcW w:w="1328"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省级</w:t>
            </w:r>
          </w:p>
        </w:tc>
        <w:tc>
          <w:tcPr>
            <w:tcW w:w="97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市厅级</w:t>
            </w:r>
          </w:p>
        </w:tc>
        <w:tc>
          <w:tcPr>
            <w:tcW w:w="7623" w:type="dxa"/>
            <w:gridSpan w:val="10"/>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864" w:type="dxa"/>
            <w:vMerge w:val="continue"/>
            <w:tcBorders>
              <w:left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3" w:type="dxa"/>
            <w:vMerge w:val="continue"/>
            <w:tcBorders>
              <w:left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733"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533"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0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3</w:t>
            </w:r>
          </w:p>
        </w:tc>
        <w:tc>
          <w:tcPr>
            <w:tcW w:w="1328"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2</w:t>
            </w:r>
          </w:p>
        </w:tc>
        <w:tc>
          <w:tcPr>
            <w:tcW w:w="97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w:t>
            </w:r>
          </w:p>
        </w:tc>
        <w:tc>
          <w:tcPr>
            <w:tcW w:w="7623" w:type="dxa"/>
            <w:gridSpan w:val="10"/>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46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2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c>
          <w:tcPr>
            <w:tcW w:w="864" w:type="dxa"/>
            <w:vMerge w:val="continue"/>
            <w:tcBorders>
              <w:left w:val="single" w:color="auto" w:sz="4" w:space="0"/>
              <w:bottom w:val="single" w:color="auto" w:sz="4" w:space="0"/>
              <w:right w:val="single" w:color="auto" w:sz="4" w:space="0"/>
            </w:tcBorders>
          </w:tcPr>
          <w:p>
            <w:pPr>
              <w:widowControl/>
              <w:jc w:val="left"/>
              <w:rPr>
                <w:rFonts w:ascii="仿宋_GB2312" w:eastAsia="仿宋_GB2312"/>
                <w:color w:val="000000" w:themeColor="text1"/>
                <w:szCs w:val="21"/>
                <w14:textFill>
                  <w14:solidFill>
                    <w14:schemeClr w14:val="tx1"/>
                  </w14:solidFill>
                </w14:textFill>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themeColor="text1"/>
                <w:szCs w:val="21"/>
                <w14:textFill>
                  <w14:solidFill>
                    <w14:schemeClr w14:val="tx1"/>
                  </w14:solidFill>
                </w14:textFill>
              </w:rPr>
            </w:pPr>
          </w:p>
        </w:tc>
      </w:tr>
    </w:tbl>
    <w:p>
      <w:pPr>
        <w:spacing w:line="320" w:lineRule="exact"/>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说明：1.本细则主要用于高教系列专业技术职务评审科研测评。</w:t>
      </w:r>
    </w:p>
    <w:p>
      <w:pPr>
        <w:spacing w:line="320" w:lineRule="exact"/>
        <w:ind w:firstLine="840" w:firstLineChars="400"/>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科研水平测评以任现职以来的科研工作为测评依据。</w:t>
      </w:r>
    </w:p>
    <w:p>
      <w:pPr>
        <w:spacing w:line="320" w:lineRule="exact"/>
        <w:ind w:firstLine="840" w:firstLineChars="400"/>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所有申报材料与申报学科完全无关的不计分。</w:t>
      </w:r>
    </w:p>
    <w:p>
      <w:pPr>
        <w:spacing w:line="320" w:lineRule="exact"/>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4.“评价内容”所对应的“分数”为本项评价的最高分，加分不超过本项最高分。未设置分数的，各项可累计加分。</w:t>
      </w:r>
    </w:p>
    <w:p>
      <w:pPr>
        <w:spacing w:line="320" w:lineRule="exact"/>
        <w:ind w:firstLine="840" w:firstLineChars="400"/>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佐证材料必须按照“得分原因”一栏所罗列的先后顺序编目，否则视为缺少此项证明材料，并请注明材料所在页码。</w:t>
      </w:r>
    </w:p>
    <w:p>
      <w:pPr>
        <w:ind w:firstLine="840" w:firstLineChars="400"/>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.成果以在学院登记备案为准；调入人员，调入前成果需提供原单位证明或原件，学院认可。</w:t>
      </w:r>
    </w:p>
    <w:p>
      <w:pPr>
        <w:ind w:firstLine="840" w:firstLineChars="4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7.论文查重重合率不超过30%，以学院图书馆提供的查重报告为认定依据。</w:t>
      </w:r>
    </w:p>
    <w:p>
      <w:pPr>
        <w:jc w:val="center"/>
        <w:rPr>
          <w:rFonts w:ascii="方正小标宋简体" w:hAnsi="宋体" w:eastAsia="方正小标宋简体"/>
          <w:color w:val="000000" w:themeColor="text1"/>
          <w:sz w:val="44"/>
          <w:szCs w:val="44"/>
          <w14:textFill>
            <w14:solidFill>
              <w14:schemeClr w14:val="tx1"/>
            </w14:solidFill>
          </w14:textFill>
        </w:rPr>
      </w:pPr>
    </w:p>
    <w:p>
      <w:pPr>
        <w:jc w:val="center"/>
        <w:rPr>
          <w:b/>
          <w:color w:val="000000" w:themeColor="text1"/>
          <w14:textFill>
            <w14:solidFill>
              <w14:schemeClr w14:val="tx1"/>
            </w14:solidFill>
          </w14:textFill>
        </w:rPr>
      </w:pPr>
      <w:r>
        <w:rPr>
          <w:rFonts w:ascii="方正小标宋简体" w:hAnsi="宋体" w:eastAsia="方正小标宋简体"/>
          <w:color w:val="000000" w:themeColor="text1"/>
          <w:sz w:val="44"/>
          <w:szCs w:val="44"/>
          <w14:textFill>
            <w14:solidFill>
              <w14:schemeClr w14:val="tx1"/>
            </w14:solidFill>
          </w14:textFill>
        </w:rPr>
        <w:t xml:space="preserve">  </w:t>
      </w:r>
      <w:r>
        <w:rPr>
          <w:rFonts w:hint="eastAsia" w:ascii="方正小标宋简体" w:hAnsi="宋体" w:eastAsia="方正小标宋简体"/>
          <w:color w:val="000000" w:themeColor="text1"/>
          <w:sz w:val="44"/>
          <w:szCs w:val="44"/>
          <w14:textFill>
            <w14:solidFill>
              <w14:schemeClr w14:val="tx1"/>
            </w14:solidFill>
          </w14:textFill>
        </w:rPr>
        <w:t>20</w:t>
      </w:r>
      <w:r>
        <w:rPr>
          <w:rFonts w:ascii="方正小标宋简体" w:hAnsi="宋体" w:eastAsia="方正小标宋简体"/>
          <w:color w:val="000000" w:themeColor="text1"/>
          <w:sz w:val="44"/>
          <w:szCs w:val="44"/>
          <w14:textFill>
            <w14:solidFill>
              <w14:schemeClr w14:val="tx1"/>
            </w14:solidFill>
          </w14:textFill>
        </w:rPr>
        <w:t>21</w:t>
      </w:r>
      <w:r>
        <w:rPr>
          <w:rFonts w:hint="eastAsia" w:ascii="方正小标宋简体" w:hAnsi="宋体" w:eastAsia="方正小标宋简体"/>
          <w:color w:val="000000" w:themeColor="text1"/>
          <w:sz w:val="44"/>
          <w:szCs w:val="44"/>
          <w14:textFill>
            <w14:solidFill>
              <w14:schemeClr w14:val="tx1"/>
            </w14:solidFill>
          </w14:textFill>
        </w:rPr>
        <w:t>年度职称评审师德师风与综合考评细则</w:t>
      </w:r>
    </w:p>
    <w:p>
      <w:pPr>
        <w:ind w:firstLine="840" w:firstLineChars="350"/>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姓名：</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陈璐</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申报专业技术职务：</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讲师</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申报分支专业：</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外国语言文学</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填报日期：</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lang w:val="en-US" w:eastAsia="zh-CN"/>
          <w14:textFill>
            <w14:solidFill>
              <w14:schemeClr w14:val="tx1"/>
            </w14:solidFill>
          </w14:textFill>
        </w:rPr>
        <w:t>2021.12.14</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p>
    <w:p>
      <w:pPr>
        <w:spacing w:line="240" w:lineRule="exact"/>
        <w:rPr>
          <w:rFonts w:ascii="宋体" w:hAnsi="宋体"/>
          <w:color w:val="000000" w:themeColor="text1"/>
          <w:sz w:val="24"/>
          <w14:textFill>
            <w14:solidFill>
              <w14:schemeClr w14:val="tx1"/>
            </w14:solidFill>
          </w14:textFill>
        </w:rPr>
      </w:pPr>
    </w:p>
    <w:tbl>
      <w:tblPr>
        <w:tblStyle w:val="5"/>
        <w:tblW w:w="211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567"/>
        <w:gridCol w:w="10211"/>
        <w:gridCol w:w="4736"/>
        <w:gridCol w:w="3291"/>
        <w:gridCol w:w="751"/>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jc w:val="center"/>
              <w:rPr>
                <w:b/>
                <w:color w:val="000000" w:themeColor="text1"/>
                <w:szCs w:val="21"/>
                <w14:textFill>
                  <w14:solidFill>
                    <w14:schemeClr w14:val="tx1"/>
                  </w14:solidFill>
                </w14:textFill>
              </w:rPr>
            </w:pPr>
            <w:r>
              <w:rPr>
                <w:rFonts w:hint="eastAsia"/>
                <w:b/>
                <w:color w:val="000000" w:themeColor="text1"/>
                <w:spacing w:val="-12"/>
                <w:szCs w:val="21"/>
                <w14:textFill>
                  <w14:solidFill>
                    <w14:schemeClr w14:val="tx1"/>
                  </w14:solidFill>
                </w14:textFill>
              </w:rPr>
              <w:t>一级 指标</w:t>
            </w:r>
          </w:p>
        </w:tc>
        <w:tc>
          <w:tcPr>
            <w:tcW w:w="567" w:type="dxa"/>
            <w:vAlign w:val="center"/>
          </w:tcPr>
          <w:p>
            <w:pPr>
              <w:jc w:val="center"/>
              <w:rPr>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分数</w:t>
            </w:r>
          </w:p>
        </w:tc>
        <w:tc>
          <w:tcPr>
            <w:tcW w:w="10211" w:type="dxa"/>
            <w:vAlign w:val="center"/>
          </w:tcPr>
          <w:p>
            <w:pPr>
              <w:jc w:val="center"/>
              <w:rPr>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评分标准</w:t>
            </w:r>
          </w:p>
        </w:tc>
        <w:tc>
          <w:tcPr>
            <w:tcW w:w="4736" w:type="dxa"/>
            <w:vAlign w:val="center"/>
          </w:tcPr>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佐证</w:t>
            </w:r>
          </w:p>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材料</w:t>
            </w:r>
          </w:p>
        </w:tc>
        <w:tc>
          <w:tcPr>
            <w:tcW w:w="3291" w:type="dxa"/>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佐证材料</w:t>
            </w:r>
          </w:p>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页码</w:t>
            </w:r>
          </w:p>
        </w:tc>
        <w:tc>
          <w:tcPr>
            <w:tcW w:w="751" w:type="dxa"/>
            <w:vAlign w:val="center"/>
          </w:tcPr>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自评分</w:t>
            </w:r>
          </w:p>
        </w:tc>
        <w:tc>
          <w:tcPr>
            <w:tcW w:w="759" w:type="dxa"/>
            <w:vAlign w:val="center"/>
          </w:tcPr>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评委计分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851" w:type="dxa"/>
            <w:vMerge w:val="restart"/>
            <w:vAlign w:val="center"/>
          </w:tcPr>
          <w:p>
            <w:pPr>
              <w:spacing w:line="240" w:lineRule="exact"/>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思想政治与师德</w:t>
            </w:r>
            <w:r>
              <w:rPr>
                <w:rFonts w:hint="eastAsia" w:ascii="仿宋_GB2312" w:eastAsia="仿宋_GB2312"/>
                <w:vanish/>
                <w:color w:val="000000" w:themeColor="text1"/>
                <w:spacing w:val="-10"/>
                <w:szCs w:val="21"/>
                <w14:textFill>
                  <w14:solidFill>
                    <w14:schemeClr w14:val="tx1"/>
                  </w14:solidFill>
                </w14:textFill>
              </w:rPr>
              <w:t>fen  5</w:t>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r>
              <w:rPr>
                <w:rFonts w:hint="eastAsia" w:ascii="仿宋_GB2312" w:eastAsia="仿宋_GB2312"/>
                <w:vanish/>
                <w:color w:val="000000" w:themeColor="text1"/>
                <w:spacing w:val="-10"/>
                <w:szCs w:val="21"/>
                <w14:textFill>
                  <w14:solidFill>
                    <w14:schemeClr w14:val="tx1"/>
                  </w14:solidFill>
                </w14:textFill>
              </w:rPr>
              <w:pgNum/>
            </w:r>
          </w:p>
        </w:tc>
        <w:tc>
          <w:tcPr>
            <w:tcW w:w="567" w:type="dxa"/>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w:t>
            </w:r>
            <w:r>
              <w:rPr>
                <w:rFonts w:ascii="仿宋_GB2312" w:eastAsia="仿宋_GB2312"/>
                <w:color w:val="000000" w:themeColor="text1"/>
                <w:szCs w:val="21"/>
                <w14:textFill>
                  <w14:solidFill>
                    <w14:schemeClr w14:val="tx1"/>
                  </w14:solidFill>
                </w14:textFill>
              </w:rPr>
              <w:t>0</w:t>
            </w:r>
          </w:p>
        </w:tc>
        <w:tc>
          <w:tcPr>
            <w:tcW w:w="10211" w:type="dxa"/>
            <w:shd w:val="clear" w:color="auto" w:fill="auto"/>
            <w:vAlign w:val="center"/>
          </w:tcPr>
          <w:p>
            <w:pPr>
              <w:widowControl/>
              <w:tabs>
                <w:tab w:val="left" w:pos="380"/>
              </w:tabs>
              <w:jc w:val="lef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14:textFill>
                  <w14:solidFill>
                    <w14:schemeClr w14:val="tx1"/>
                  </w14:solidFill>
                </w14:textFill>
              </w:rPr>
              <w:t>1、工作业绩突出，个人获得国家级、省（部）级、市（厅）级表彰奖励。国家级计10分，省（部）级计5分，市（厅）级计2分，院级党委、行政荣誉计1分（以学院党委、行政发文为准）。同一事项多次获奖只取最高级别的一项计分。</w:t>
            </w:r>
          </w:p>
        </w:tc>
        <w:tc>
          <w:tcPr>
            <w:tcW w:w="4736" w:type="dxa"/>
            <w:vAlign w:val="center"/>
          </w:tcPr>
          <w:p>
            <w:pPr>
              <w:rPr>
                <w:rFonts w:hint="default" w:ascii="宋体" w:hAnsi="宋体" w:eastAsia="宋体" w:cs="宋体"/>
                <w:szCs w:val="21"/>
                <w:lang w:val="en-US" w:eastAsia="zh-CN"/>
              </w:rPr>
            </w:pPr>
            <w:r>
              <w:rPr>
                <w:rFonts w:hint="eastAsia" w:ascii="宋体" w:hAnsi="宋体" w:cs="宋体"/>
                <w:color w:val="000000" w:themeColor="text1"/>
                <w:szCs w:val="21"/>
                <w:lang w:val="en-US" w:eastAsia="zh-CN"/>
                <w14:textFill>
                  <w14:solidFill>
                    <w14:schemeClr w14:val="tx1"/>
                  </w14:solidFill>
                </w14:textFill>
              </w:rPr>
              <w:t>2020年度工会积极分子（院级行政荣誉？）</w:t>
            </w:r>
          </w:p>
        </w:tc>
        <w:tc>
          <w:tcPr>
            <w:tcW w:w="3291" w:type="dxa"/>
            <w:vAlign w:val="center"/>
          </w:tcPr>
          <w:p>
            <w:pPr>
              <w:rPr>
                <w:rFonts w:hint="default" w:ascii="宋体" w:hAnsi="宋体" w:eastAsia="宋体" w:cs="宋体"/>
                <w:szCs w:val="21"/>
                <w:lang w:val="en-US" w:eastAsia="zh-CN"/>
              </w:rPr>
            </w:pPr>
            <w:r>
              <w:rPr>
                <w:rFonts w:hint="eastAsia"/>
                <w:color w:val="000000" w:themeColor="text1"/>
                <w:szCs w:val="21"/>
                <w:lang w:val="en-US" w:eastAsia="zh-CN"/>
                <w14:textFill>
                  <w14:solidFill>
                    <w14:schemeClr w14:val="tx1"/>
                  </w14:solidFill>
                </w14:textFill>
              </w:rPr>
              <w:t>《职称评审材料（一）》</w:t>
            </w:r>
            <w:r>
              <w:rPr>
                <w:rFonts w:hint="eastAsia" w:ascii="宋体" w:hAnsi="宋体" w:cs="宋体"/>
                <w:szCs w:val="21"/>
                <w:lang w:val="en-US" w:eastAsia="zh-CN"/>
              </w:rPr>
              <w:t>P25</w:t>
            </w:r>
          </w:p>
        </w:tc>
        <w:tc>
          <w:tcPr>
            <w:tcW w:w="751" w:type="dxa"/>
            <w:vAlign w:val="center"/>
          </w:tcPr>
          <w:p>
            <w:pPr>
              <w:ind w:firstLine="240" w:firstLineChars="100"/>
              <w:rPr>
                <w:rFonts w:hint="eastAsia" w:eastAsia="宋体"/>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1</w:t>
            </w:r>
          </w:p>
        </w:tc>
        <w:tc>
          <w:tcPr>
            <w:tcW w:w="759" w:type="dxa"/>
            <w:vAlign w:val="center"/>
          </w:tcPr>
          <w:p>
            <w:pP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851" w:type="dxa"/>
            <w:vMerge w:val="continue"/>
            <w:vAlign w:val="center"/>
          </w:tcPr>
          <w:p>
            <w:pPr>
              <w:spacing w:line="240" w:lineRule="exact"/>
              <w:jc w:val="center"/>
              <w:rPr>
                <w:rFonts w:ascii="仿宋_GB2312" w:eastAsia="仿宋_GB2312"/>
                <w:color w:val="000000" w:themeColor="text1"/>
                <w:szCs w:val="21"/>
                <w14:textFill>
                  <w14:solidFill>
                    <w14:schemeClr w14:val="tx1"/>
                  </w14:solidFill>
                </w14:textFill>
              </w:rPr>
            </w:pPr>
          </w:p>
        </w:tc>
        <w:tc>
          <w:tcPr>
            <w:tcW w:w="567" w:type="dxa"/>
            <w:vAlign w:val="center"/>
          </w:tcPr>
          <w:p>
            <w:pPr>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5</w:t>
            </w:r>
          </w:p>
        </w:tc>
        <w:tc>
          <w:tcPr>
            <w:tcW w:w="10211" w:type="dxa"/>
            <w:shd w:val="clear" w:color="auto" w:fill="auto"/>
            <w:vAlign w:val="center"/>
          </w:tcPr>
          <w:p>
            <w:pPr>
              <w:suppressAutoHyphens/>
              <w:adjustRightInd w:val="0"/>
              <w:snapToGrid w:val="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spacing w:val="-8"/>
                <w14:textFill>
                  <w14:solidFill>
                    <w14:schemeClr w14:val="tx1"/>
                  </w14:solidFill>
                </w14:textFill>
              </w:rPr>
              <w:t>2、师德师风先进事迹在国家级、省（部）级、市（厅）级的主流媒体（指党报、党刊或党政部门主办的网络媒体）进行了专题宣传报道。</w:t>
            </w:r>
            <w:r>
              <w:rPr>
                <w:rFonts w:hint="eastAsia" w:ascii="仿宋_GB2312" w:eastAsia="仿宋_GB2312"/>
                <w:color w:val="000000" w:themeColor="text1"/>
                <w14:textFill>
                  <w14:solidFill>
                    <w14:schemeClr w14:val="tx1"/>
                  </w14:solidFill>
                </w14:textFill>
              </w:rPr>
              <w:t>国家级计3分，省（部）级计2分，市（厅）级计1分。同一事项多次报道只取最高级别的一项计分。</w:t>
            </w:r>
          </w:p>
        </w:tc>
        <w:tc>
          <w:tcPr>
            <w:tcW w:w="4736" w:type="dxa"/>
            <w:vAlign w:val="center"/>
          </w:tcPr>
          <w:p>
            <w:pPr>
              <w:rPr>
                <w:rFonts w:ascii="宋体" w:hAnsi="宋体" w:cs="宋体"/>
                <w:color w:val="000000" w:themeColor="text1"/>
                <w:sz w:val="18"/>
                <w:szCs w:val="18"/>
                <w14:textFill>
                  <w14:solidFill>
                    <w14:schemeClr w14:val="tx1"/>
                  </w14:solidFill>
                </w14:textFill>
              </w:rPr>
            </w:pPr>
          </w:p>
        </w:tc>
        <w:tc>
          <w:tcPr>
            <w:tcW w:w="3291" w:type="dxa"/>
            <w:vAlign w:val="center"/>
          </w:tcPr>
          <w:p>
            <w:pPr>
              <w:rPr>
                <w:color w:val="000000" w:themeColor="text1"/>
                <w:sz w:val="18"/>
                <w:szCs w:val="18"/>
                <w14:textFill>
                  <w14:solidFill>
                    <w14:schemeClr w14:val="tx1"/>
                  </w14:solidFill>
                </w14:textFill>
              </w:rPr>
            </w:pPr>
          </w:p>
        </w:tc>
        <w:tc>
          <w:tcPr>
            <w:tcW w:w="751" w:type="dxa"/>
            <w:vAlign w:val="center"/>
          </w:tcPr>
          <w:p>
            <w:pPr>
              <w:rPr>
                <w:color w:val="000000" w:themeColor="text1"/>
                <w:sz w:val="24"/>
                <w14:textFill>
                  <w14:solidFill>
                    <w14:schemeClr w14:val="tx1"/>
                  </w14:solidFill>
                </w14:textFill>
              </w:rPr>
            </w:pPr>
          </w:p>
        </w:tc>
        <w:tc>
          <w:tcPr>
            <w:tcW w:w="759" w:type="dxa"/>
            <w:vAlign w:val="center"/>
          </w:tcPr>
          <w:p>
            <w:pP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851" w:type="dxa"/>
            <w:vMerge w:val="continue"/>
            <w:vAlign w:val="center"/>
          </w:tcPr>
          <w:p>
            <w:pPr>
              <w:spacing w:line="240" w:lineRule="exact"/>
              <w:jc w:val="center"/>
              <w:rPr>
                <w:rFonts w:ascii="仿宋_GB2312" w:eastAsia="仿宋_GB2312"/>
                <w:color w:val="000000" w:themeColor="text1"/>
                <w:szCs w:val="21"/>
                <w14:textFill>
                  <w14:solidFill>
                    <w14:schemeClr w14:val="tx1"/>
                  </w14:solidFill>
                </w14:textFill>
              </w:rPr>
            </w:pPr>
          </w:p>
        </w:tc>
        <w:tc>
          <w:tcPr>
            <w:tcW w:w="567" w:type="dxa"/>
            <w:vAlign w:val="center"/>
          </w:tcPr>
          <w:p>
            <w:pPr>
              <w:jc w:val="center"/>
              <w:rPr>
                <w:rFonts w:ascii="仿宋_GB2312" w:hAnsi="宋体" w:eastAsia="仿宋_GB2312"/>
                <w:color w:val="000000" w:themeColor="text1"/>
                <w:szCs w:val="21"/>
                <w14:textFill>
                  <w14:solidFill>
                    <w14:schemeClr w14:val="tx1"/>
                  </w14:solidFill>
                </w14:textFill>
              </w:rPr>
            </w:pPr>
          </w:p>
        </w:tc>
        <w:tc>
          <w:tcPr>
            <w:tcW w:w="10211" w:type="dxa"/>
            <w:shd w:val="clear" w:color="auto" w:fill="auto"/>
            <w:vAlign w:val="center"/>
          </w:tcPr>
          <w:p>
            <w:pPr>
              <w:tabs>
                <w:tab w:val="left" w:pos="380"/>
              </w:tabs>
              <w:jc w:val="left"/>
              <w:rPr>
                <w:rFonts w:ascii="仿宋_GB2312" w:eastAsia="仿宋_GB2312"/>
                <w:color w:val="000000" w:themeColor="text1"/>
                <w:spacing w:val="-8"/>
                <w14:textFill>
                  <w14:solidFill>
                    <w14:schemeClr w14:val="tx1"/>
                  </w14:solidFill>
                </w14:textFill>
              </w:rPr>
            </w:pPr>
            <w:r>
              <w:rPr>
                <w:rFonts w:hint="eastAsia" w:ascii="仿宋_GB2312" w:eastAsia="仿宋_GB2312"/>
                <w:color w:val="000000" w:themeColor="text1"/>
                <w:spacing w:val="-8"/>
                <w14:textFill>
                  <w14:solidFill>
                    <w14:schemeClr w14:val="tx1"/>
                  </w14:solidFill>
                </w14:textFill>
              </w:rPr>
              <w:t>凡有以下违反师德师风行为之一的，</w:t>
            </w:r>
            <w:r>
              <w:rPr>
                <w:rFonts w:hint="eastAsia" w:ascii="仿宋_GB2312" w:eastAsia="仿宋_GB2312"/>
                <w:color w:val="000000" w:themeColor="text1"/>
                <w14:textFill>
                  <w14:solidFill>
                    <w14:schemeClr w14:val="tx1"/>
                  </w14:solidFill>
                </w14:textFill>
              </w:rPr>
              <w:t>取消当年及下一年度参评高一级职称资格</w:t>
            </w:r>
            <w:r>
              <w:rPr>
                <w:rFonts w:hint="eastAsia" w:ascii="仿宋_GB2312" w:eastAsia="仿宋_GB2312"/>
                <w:color w:val="000000" w:themeColor="text1"/>
                <w:spacing w:val="-8"/>
                <w14:textFill>
                  <w14:solidFill>
                    <w14:schemeClr w14:val="tx1"/>
                  </w14:solidFill>
                </w14:textFill>
              </w:rPr>
              <w:t>：（</w:t>
            </w:r>
            <w:r>
              <w:rPr>
                <w:rFonts w:hint="eastAsia" w:ascii="仿宋_GB2312" w:eastAsia="仿宋_GB2312"/>
                <w:color w:val="000000" w:themeColor="text1"/>
                <w14:textFill>
                  <w14:solidFill>
                    <w14:schemeClr w14:val="tx1"/>
                  </w14:solidFill>
                </w14:textFill>
              </w:rPr>
              <w:t>1</w:t>
            </w:r>
            <w:r>
              <w:rPr>
                <w:rFonts w:hint="eastAsia" w:ascii="仿宋_GB2312" w:eastAsia="仿宋_GB2312"/>
                <w:color w:val="000000" w:themeColor="text1"/>
                <w:spacing w:val="-8"/>
                <w14:textFill>
                  <w14:solidFill>
                    <w14:schemeClr w14:val="tx1"/>
                  </w14:solidFill>
                </w14:textFill>
              </w:rPr>
              <w:t>）</w:t>
            </w:r>
            <w:r>
              <w:rPr>
                <w:rFonts w:hint="eastAsia" w:ascii="仿宋_GB2312" w:eastAsia="仿宋_GB2312"/>
                <w:color w:val="000000" w:themeColor="text1"/>
                <w14:textFill>
                  <w14:solidFill>
                    <w14:schemeClr w14:val="tx1"/>
                  </w14:solidFill>
                </w14:textFill>
              </w:rPr>
              <w:t>违背《宪法》、《高等教育法》相关法律法规并造成严重后果的；（2）受到党纪、政纪处分的；（3）散布破坏民族团结言行，攻击、诽谤党和国家领导人，发表抹黑新时代中国特色社会主义言论，造成恶劣影响的；（4）触犯法律，受行政拘留以上处罚的；（5）无故旷工，或无故拒绝接受分配的工作任务或调配的新工作岗位；（6）违反工作纪律，造成重大教学事故2次及以上、安全责任事故及其它责任事故的；（7）剽窃他人学术成果或有其它学术不端行为；（8）参加邪教、封建迷信等活动的；（9）不当言行在学生中或社会上造成恶劣影响的。</w:t>
            </w:r>
          </w:p>
        </w:tc>
        <w:tc>
          <w:tcPr>
            <w:tcW w:w="4736" w:type="dxa"/>
            <w:vAlign w:val="center"/>
          </w:tcPr>
          <w:p>
            <w:pPr>
              <w:rPr>
                <w:rFonts w:ascii="宋体" w:hAnsi="宋体" w:cs="宋体"/>
                <w:color w:val="000000" w:themeColor="text1"/>
                <w:sz w:val="18"/>
                <w:szCs w:val="18"/>
                <w14:textFill>
                  <w14:solidFill>
                    <w14:schemeClr w14:val="tx1"/>
                  </w14:solidFill>
                </w14:textFill>
              </w:rPr>
            </w:pPr>
          </w:p>
        </w:tc>
        <w:tc>
          <w:tcPr>
            <w:tcW w:w="3291" w:type="dxa"/>
            <w:vAlign w:val="center"/>
          </w:tcPr>
          <w:p>
            <w:pPr>
              <w:rPr>
                <w:color w:val="000000" w:themeColor="text1"/>
                <w:sz w:val="18"/>
                <w:szCs w:val="18"/>
                <w14:textFill>
                  <w14:solidFill>
                    <w14:schemeClr w14:val="tx1"/>
                  </w14:solidFill>
                </w14:textFill>
              </w:rPr>
            </w:pPr>
          </w:p>
        </w:tc>
        <w:tc>
          <w:tcPr>
            <w:tcW w:w="751" w:type="dxa"/>
            <w:vAlign w:val="center"/>
          </w:tcPr>
          <w:p>
            <w:pPr>
              <w:rPr>
                <w:color w:val="000000" w:themeColor="text1"/>
                <w:sz w:val="24"/>
                <w14:textFill>
                  <w14:solidFill>
                    <w14:schemeClr w14:val="tx1"/>
                  </w14:solidFill>
                </w14:textFill>
              </w:rPr>
            </w:pPr>
          </w:p>
        </w:tc>
        <w:tc>
          <w:tcPr>
            <w:tcW w:w="759" w:type="dxa"/>
            <w:vAlign w:val="center"/>
          </w:tcPr>
          <w:p>
            <w:pP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51" w:type="dxa"/>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学历学位</w:t>
            </w:r>
          </w:p>
        </w:tc>
        <w:tc>
          <w:tcPr>
            <w:tcW w:w="567" w:type="dxa"/>
            <w:vAlign w:val="center"/>
          </w:tcPr>
          <w:p>
            <w:pPr>
              <w:jc w:val="center"/>
              <w:rPr>
                <w:rFonts w:ascii="仿宋_GB2312" w:eastAsia="仿宋_GB2312"/>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9</w:t>
            </w:r>
          </w:p>
        </w:tc>
        <w:tc>
          <w:tcPr>
            <w:tcW w:w="10211" w:type="dxa"/>
            <w:shd w:val="clear" w:color="auto" w:fill="auto"/>
            <w:vAlign w:val="center"/>
          </w:tcPr>
          <w:p>
            <w:pPr>
              <w:jc w:val="left"/>
              <w:rPr>
                <w:rFonts w:ascii="仿宋_GB2312" w:hAnsi="宋体" w:eastAsia="仿宋_GB2312" w:cs="宋体"/>
                <w:color w:val="000000" w:themeColor="text1"/>
                <w:kern w:val="0"/>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获硕士学位（学历）计</w:t>
            </w:r>
            <w:r>
              <w:rPr>
                <w:rFonts w:ascii="仿宋_GB2312" w:hAnsi="宋体" w:eastAsia="仿宋_GB2312"/>
                <w:color w:val="000000" w:themeColor="text1"/>
                <w:szCs w:val="21"/>
                <w14:textFill>
                  <w14:solidFill>
                    <w14:schemeClr w14:val="tx1"/>
                  </w14:solidFill>
                </w14:textFill>
              </w:rPr>
              <w:t>5</w:t>
            </w:r>
            <w:r>
              <w:rPr>
                <w:rFonts w:hint="eastAsia" w:ascii="仿宋_GB2312" w:hAnsi="宋体" w:eastAsia="仿宋_GB2312"/>
                <w:color w:val="000000" w:themeColor="text1"/>
                <w:szCs w:val="21"/>
                <w14:textFill>
                  <w14:solidFill>
                    <w14:schemeClr w14:val="tx1"/>
                  </w14:solidFill>
                </w14:textFill>
              </w:rPr>
              <w:t>分，获博士学位（学历）计</w:t>
            </w:r>
            <w:r>
              <w:rPr>
                <w:rFonts w:ascii="仿宋_GB2312" w:hAnsi="宋体" w:eastAsia="仿宋_GB2312"/>
                <w:color w:val="000000" w:themeColor="text1"/>
                <w:szCs w:val="21"/>
                <w14:textFill>
                  <w14:solidFill>
                    <w14:schemeClr w14:val="tx1"/>
                  </w14:solidFill>
                </w14:textFill>
              </w:rPr>
              <w:t>9</w:t>
            </w:r>
            <w:r>
              <w:rPr>
                <w:rFonts w:hint="eastAsia" w:ascii="仿宋_GB2312" w:hAnsi="宋体" w:eastAsia="仿宋_GB2312"/>
                <w:color w:val="000000" w:themeColor="text1"/>
                <w:szCs w:val="21"/>
                <w14:textFill>
                  <w14:solidFill>
                    <w14:schemeClr w14:val="tx1"/>
                  </w14:solidFill>
                </w14:textFill>
              </w:rPr>
              <w:t>分。取最高学历（学位）计分，不重复计分。</w:t>
            </w:r>
          </w:p>
        </w:tc>
        <w:tc>
          <w:tcPr>
            <w:tcW w:w="4736" w:type="dxa"/>
            <w:vAlign w:val="center"/>
          </w:tcPr>
          <w:p>
            <w:pPr>
              <w:jc w:val="left"/>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最高学历学位复印件</w:t>
            </w:r>
          </w:p>
        </w:tc>
        <w:tc>
          <w:tcPr>
            <w:tcW w:w="3291" w:type="dxa"/>
            <w:vAlign w:val="center"/>
          </w:tcPr>
          <w:p>
            <w:pP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《职称评审材料（一）》P3, P5</w:t>
            </w:r>
          </w:p>
        </w:tc>
        <w:tc>
          <w:tcPr>
            <w:tcW w:w="751" w:type="dxa"/>
            <w:vAlign w:val="center"/>
          </w:tcPr>
          <w:p>
            <w:pPr>
              <w:ind w:firstLine="240" w:firstLineChars="100"/>
              <w:jc w:val="both"/>
              <w:rPr>
                <w:rFonts w:hint="eastAsia" w:eastAsia="宋体"/>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5</w:t>
            </w:r>
          </w:p>
        </w:tc>
        <w:tc>
          <w:tcPr>
            <w:tcW w:w="759" w:type="dxa"/>
            <w:vAlign w:val="center"/>
          </w:tcPr>
          <w:p>
            <w:pP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851" w:type="dxa"/>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外语、计算机水平</w:t>
            </w:r>
          </w:p>
        </w:tc>
        <w:tc>
          <w:tcPr>
            <w:tcW w:w="567" w:type="dxa"/>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3</w:t>
            </w:r>
          </w:p>
        </w:tc>
        <w:tc>
          <w:tcPr>
            <w:tcW w:w="10211" w:type="dxa"/>
            <w:shd w:val="clear" w:color="auto" w:fill="auto"/>
            <w:vAlign w:val="center"/>
          </w:tcPr>
          <w:p>
            <w:pPr>
              <w:jc w:val="left"/>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参加全国职称外语水平考试，成绩合格；参加全国专业技术人员计算机应用能力考试，成绩合格；或符合湖南省关于职称外语和计算机的免考条件。</w:t>
            </w:r>
          </w:p>
        </w:tc>
        <w:tc>
          <w:tcPr>
            <w:tcW w:w="4736" w:type="dxa"/>
            <w:vAlign w:val="center"/>
          </w:tcPr>
          <w:p>
            <w:pPr>
              <w:jc w:val="left"/>
              <w:rPr>
                <w:rFonts w:hint="default"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外语与计算机免考申请表</w:t>
            </w:r>
          </w:p>
        </w:tc>
        <w:tc>
          <w:tcPr>
            <w:tcW w:w="3291" w:type="dxa"/>
            <w:vAlign w:val="center"/>
          </w:tcPr>
          <w:p>
            <w:pP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《职称评审材料（二）》P29,p21</w:t>
            </w:r>
          </w:p>
        </w:tc>
        <w:tc>
          <w:tcPr>
            <w:tcW w:w="751" w:type="dxa"/>
            <w:vAlign w:val="center"/>
          </w:tcPr>
          <w:p>
            <w:pPr>
              <w:jc w:val="center"/>
              <w:rPr>
                <w:rFonts w:hint="eastAsia" w:eastAsia="宋体"/>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5</w:t>
            </w:r>
          </w:p>
        </w:tc>
        <w:tc>
          <w:tcPr>
            <w:tcW w:w="759" w:type="dxa"/>
            <w:vAlign w:val="center"/>
          </w:tcPr>
          <w:p>
            <w:pP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51" w:type="dxa"/>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继续教育</w:t>
            </w:r>
          </w:p>
        </w:tc>
        <w:tc>
          <w:tcPr>
            <w:tcW w:w="567" w:type="dxa"/>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3</w:t>
            </w:r>
          </w:p>
        </w:tc>
        <w:tc>
          <w:tcPr>
            <w:tcW w:w="10211" w:type="dxa"/>
            <w:shd w:val="clear" w:color="auto" w:fill="auto"/>
            <w:vAlign w:val="center"/>
          </w:tcPr>
          <w:p>
            <w:pPr>
              <w:rPr>
                <w:rFonts w:ascii="仿宋_GB2312" w:hAnsi="宋体" w:eastAsia="仿宋_GB2312" w:cs="宋体"/>
                <w:color w:val="000000" w:themeColor="text1"/>
                <w:kern w:val="0"/>
                <w:szCs w:val="21"/>
                <w14:textFill>
                  <w14:solidFill>
                    <w14:schemeClr w14:val="tx1"/>
                  </w14:solidFill>
                </w14:textFill>
              </w:rPr>
            </w:pPr>
            <w:r>
              <w:rPr>
                <w:rFonts w:hint="eastAsia" w:ascii="仿宋_GB2312" w:hAnsi="宋体" w:eastAsia="仿宋_GB2312" w:cs="宋体"/>
                <w:color w:val="000000" w:themeColor="text1"/>
                <w:kern w:val="0"/>
                <w:szCs w:val="21"/>
                <w14:textFill>
                  <w14:solidFill>
                    <w14:schemeClr w14:val="tx1"/>
                  </w14:solidFill>
                </w14:textFill>
              </w:rPr>
              <w:t>有人力资源社会保障部门出具（中级职称为省供销合作总社出具）的继续教育合格证明。</w:t>
            </w:r>
          </w:p>
        </w:tc>
        <w:tc>
          <w:tcPr>
            <w:tcW w:w="4736" w:type="dxa"/>
            <w:vAlign w:val="center"/>
          </w:tcPr>
          <w:p>
            <w:pP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继续教育合格证明</w:t>
            </w:r>
          </w:p>
        </w:tc>
        <w:tc>
          <w:tcPr>
            <w:tcW w:w="3291" w:type="dxa"/>
            <w:vAlign w:val="center"/>
          </w:tcPr>
          <w:p>
            <w:pPr>
              <w:rPr>
                <w:rFonts w:hint="default"/>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《职称评审材料（二）》P23</w:t>
            </w:r>
          </w:p>
        </w:tc>
        <w:tc>
          <w:tcPr>
            <w:tcW w:w="751" w:type="dxa"/>
            <w:vAlign w:val="center"/>
          </w:tcPr>
          <w:p>
            <w:pPr>
              <w:jc w:val="center"/>
              <w:rPr>
                <w:rFonts w:hint="eastAsia" w:eastAsia="宋体"/>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3</w:t>
            </w:r>
          </w:p>
        </w:tc>
        <w:tc>
          <w:tcPr>
            <w:tcW w:w="759" w:type="dxa"/>
            <w:vAlign w:val="center"/>
          </w:tcPr>
          <w:p>
            <w:pP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51" w:type="dxa"/>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合计</w:t>
            </w:r>
          </w:p>
        </w:tc>
        <w:tc>
          <w:tcPr>
            <w:tcW w:w="567" w:type="dxa"/>
            <w:vAlign w:val="center"/>
          </w:tcPr>
          <w:p>
            <w:pPr>
              <w:jc w:val="center"/>
              <w:rPr>
                <w:rFonts w:ascii="仿宋_GB2312" w:eastAsia="仿宋_GB2312"/>
                <w:color w:val="000000" w:themeColor="text1"/>
                <w:szCs w:val="21"/>
                <w14:textFill>
                  <w14:solidFill>
                    <w14:schemeClr w14:val="tx1"/>
                  </w14:solidFill>
                </w14:textFill>
              </w:rPr>
            </w:pPr>
            <w:r>
              <w:rPr>
                <w:rFonts w:ascii="仿宋_GB2312" w:eastAsia="仿宋_GB2312"/>
                <w:color w:val="000000" w:themeColor="text1"/>
                <w:szCs w:val="21"/>
                <w14:textFill>
                  <w14:solidFill>
                    <w14:schemeClr w14:val="tx1"/>
                  </w14:solidFill>
                </w14:textFill>
              </w:rPr>
              <w:t>30</w:t>
            </w:r>
          </w:p>
        </w:tc>
        <w:tc>
          <w:tcPr>
            <w:tcW w:w="10211" w:type="dxa"/>
            <w:shd w:val="clear" w:color="auto" w:fill="auto"/>
            <w:vAlign w:val="center"/>
          </w:tcPr>
          <w:p>
            <w:pPr>
              <w:rPr>
                <w:rFonts w:ascii="仿宋_GB2312" w:hAnsi="宋体" w:eastAsia="仿宋_GB2312" w:cs="宋体"/>
                <w:color w:val="000000" w:themeColor="text1"/>
                <w:kern w:val="0"/>
                <w:szCs w:val="21"/>
                <w14:textFill>
                  <w14:solidFill>
                    <w14:schemeClr w14:val="tx1"/>
                  </w14:solidFill>
                </w14:textFill>
              </w:rPr>
            </w:pPr>
          </w:p>
        </w:tc>
        <w:tc>
          <w:tcPr>
            <w:tcW w:w="4736" w:type="dxa"/>
            <w:vAlign w:val="center"/>
          </w:tcPr>
          <w:p>
            <w:pPr>
              <w:rPr>
                <w:color w:val="000000" w:themeColor="text1"/>
                <w:szCs w:val="21"/>
                <w14:textFill>
                  <w14:solidFill>
                    <w14:schemeClr w14:val="tx1"/>
                  </w14:solidFill>
                </w14:textFill>
              </w:rPr>
            </w:pPr>
          </w:p>
        </w:tc>
        <w:tc>
          <w:tcPr>
            <w:tcW w:w="3291" w:type="dxa"/>
            <w:vAlign w:val="center"/>
          </w:tcPr>
          <w:p>
            <w:pPr>
              <w:rPr>
                <w:color w:val="000000" w:themeColor="text1"/>
                <w:szCs w:val="21"/>
                <w14:textFill>
                  <w14:solidFill>
                    <w14:schemeClr w14:val="tx1"/>
                  </w14:solidFill>
                </w14:textFill>
              </w:rPr>
            </w:pPr>
          </w:p>
        </w:tc>
        <w:tc>
          <w:tcPr>
            <w:tcW w:w="751" w:type="dxa"/>
            <w:vAlign w:val="center"/>
          </w:tcPr>
          <w:p>
            <w:pPr>
              <w:rPr>
                <w:rFonts w:hint="default" w:eastAsia="宋体"/>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 xml:space="preserve"> 14</w:t>
            </w:r>
            <w:bookmarkStart w:id="0" w:name="_GoBack"/>
            <w:bookmarkEnd w:id="0"/>
          </w:p>
        </w:tc>
        <w:tc>
          <w:tcPr>
            <w:tcW w:w="759" w:type="dxa"/>
            <w:vAlign w:val="center"/>
          </w:tcPr>
          <w:p>
            <w:pPr>
              <w:rPr>
                <w:color w:val="000000" w:themeColor="text1"/>
                <w:szCs w:val="21"/>
                <w14:textFill>
                  <w14:solidFill>
                    <w14:schemeClr w14:val="tx1"/>
                  </w14:solidFill>
                </w14:textFill>
              </w:rPr>
            </w:pPr>
          </w:p>
        </w:tc>
      </w:tr>
    </w:tbl>
    <w:p>
      <w:pPr>
        <w:spacing w:line="400" w:lineRule="exact"/>
        <w:ind w:firstLine="420" w:firstLineChars="200"/>
        <w:rPr>
          <w:rFonts w:hint="eastAsia" w:eastAsia="仿宋_GB2312" w:cs="仿宋_GB2312"/>
          <w:color w:val="000000" w:themeColor="text1"/>
          <w:szCs w:val="21"/>
          <w14:textFill>
            <w14:solidFill>
              <w14:schemeClr w14:val="tx1"/>
            </w14:solidFill>
          </w14:textFill>
        </w:rPr>
      </w:pPr>
      <w:r>
        <w:rPr>
          <w:rFonts w:hint="eastAsia" w:eastAsia="仿宋_GB2312" w:cs="仿宋_GB2312"/>
          <w:color w:val="000000" w:themeColor="text1"/>
          <w:szCs w:val="21"/>
          <w14:textFill>
            <w14:solidFill>
              <w14:schemeClr w14:val="tx1"/>
            </w14:solidFill>
          </w14:textFill>
        </w:rPr>
        <w:t>思想政治与师德量化评分的说明</w:t>
      </w:r>
    </w:p>
    <w:p>
      <w:pPr>
        <w:spacing w:line="400" w:lineRule="exact"/>
        <w:ind w:firstLine="420" w:firstLineChars="200"/>
        <w:rPr>
          <w:rFonts w:hint="eastAsia" w:eastAsia="仿宋_GB2312" w:cs="仿宋_GB2312"/>
          <w:color w:val="000000" w:themeColor="text1"/>
          <w:szCs w:val="21"/>
          <w14:textFill>
            <w14:solidFill>
              <w14:schemeClr w14:val="tx1"/>
            </w14:solidFill>
          </w14:textFill>
        </w:rPr>
      </w:pPr>
      <w:r>
        <w:rPr>
          <w:rFonts w:hint="eastAsia" w:eastAsia="仿宋_GB2312" w:cs="仿宋_GB2312"/>
          <w:color w:val="000000" w:themeColor="text1"/>
          <w:szCs w:val="21"/>
          <w14:textFill>
            <w14:solidFill>
              <w14:schemeClr w14:val="tx1"/>
            </w14:solidFill>
          </w14:textFill>
        </w:rPr>
        <w:t>①先进事迹获得党委、政府、教育行政部门表彰。</w:t>
      </w:r>
    </w:p>
    <w:p>
      <w:pPr>
        <w:spacing w:line="400" w:lineRule="exact"/>
        <w:ind w:firstLine="420" w:firstLineChars="200"/>
        <w:rPr>
          <w:rFonts w:hint="eastAsia" w:eastAsia="仿宋_GB2312" w:cs="仿宋_GB2312"/>
          <w:color w:val="000000" w:themeColor="text1"/>
          <w:szCs w:val="21"/>
          <w14:textFill>
            <w14:solidFill>
              <w14:schemeClr w14:val="tx1"/>
            </w14:solidFill>
          </w14:textFill>
        </w:rPr>
      </w:pPr>
      <w:r>
        <w:rPr>
          <w:rFonts w:hint="eastAsia" w:eastAsia="仿宋_GB2312" w:cs="仿宋_GB2312"/>
          <w:color w:val="000000" w:themeColor="text1"/>
          <w:szCs w:val="21"/>
          <w14:textFill>
            <w14:solidFill>
              <w14:schemeClr w14:val="tx1"/>
            </w14:solidFill>
          </w14:textFill>
        </w:rPr>
        <w:t>国家级表彰主要指：“五一”劳动奖章、巾帼标兵、“三八”红旗手、优秀教师、优秀教育工作者等；省（部）级表彰主要指：省（部）级师德标兵、教师育人楷模、优秀教师、优秀教育工作者等；市（厅）级表彰主要指：优秀教师、优秀教育工作者、立功等。</w:t>
      </w:r>
    </w:p>
    <w:p>
      <w:pPr>
        <w:spacing w:line="400" w:lineRule="exact"/>
        <w:ind w:firstLine="420" w:firstLineChars="200"/>
        <w:rPr>
          <w:rFonts w:hint="eastAsia" w:eastAsia="仿宋_GB2312" w:cs="仿宋_GB2312"/>
          <w:color w:val="000000" w:themeColor="text1"/>
          <w:szCs w:val="21"/>
          <w14:textFill>
            <w14:solidFill>
              <w14:schemeClr w14:val="tx1"/>
            </w14:solidFill>
          </w14:textFill>
        </w:rPr>
      </w:pPr>
      <w:r>
        <w:rPr>
          <w:rFonts w:hint="eastAsia" w:eastAsia="仿宋_GB2312" w:cs="仿宋_GB2312"/>
          <w:color w:val="000000" w:themeColor="text1"/>
          <w:szCs w:val="21"/>
          <w14:textFill>
            <w14:solidFill>
              <w14:schemeClr w14:val="tx1"/>
            </w14:solidFill>
          </w14:textFill>
        </w:rPr>
        <w:t>②主流媒体宣传报道范围主要是：党政部门主办的报纸、期刊、电视台、广播电台、网络等媒体，宣传师德师风先进事迹的专题（系列）报道。</w:t>
      </w:r>
    </w:p>
    <w:p>
      <w:pPr>
        <w:spacing w:line="400" w:lineRule="exact"/>
        <w:ind w:firstLine="420" w:firstLineChars="200"/>
        <w:rPr>
          <w:rFonts w:hint="eastAsia" w:eastAsia="仿宋_GB2312" w:cs="仿宋_GB2312"/>
          <w:color w:val="000000" w:themeColor="text1"/>
          <w:szCs w:val="21"/>
          <w14:textFill>
            <w14:solidFill>
              <w14:schemeClr w14:val="tx1"/>
            </w14:solidFill>
          </w14:textFill>
        </w:rPr>
      </w:pPr>
      <w:r>
        <w:rPr>
          <w:rFonts w:hint="eastAsia" w:eastAsia="仿宋_GB2312" w:cs="仿宋_GB2312"/>
          <w:color w:val="000000" w:themeColor="text1"/>
          <w:szCs w:val="21"/>
          <w14:textFill>
            <w14:solidFill>
              <w14:schemeClr w14:val="tx1"/>
            </w14:solidFill>
          </w14:textFill>
        </w:rPr>
        <w:t>国家级主流媒体主要指：《人民日报》、《光明日报》、《中国教育报》、新华社每日电讯、中央电视台、中央广播电台、《求是》、《人民教育》、时事报告、半月谈、人民网主版、新华网主版等；省（部）级主流媒体主要指：《湖南日报》、红网主版、湖南电视台、湖南广播电台等；市（厅）级主流媒体主要指：地方性日报（晚报）等。</w:t>
      </w:r>
    </w:p>
    <w:p>
      <w:pPr>
        <w:spacing w:line="400" w:lineRule="exact"/>
        <w:ind w:firstLine="420" w:firstLineChars="200"/>
      </w:pPr>
      <w:r>
        <w:rPr>
          <w:rFonts w:hint="eastAsia" w:eastAsia="仿宋_GB2312" w:cs="仿宋_GB2312"/>
          <w:color w:val="000000" w:themeColor="text1"/>
          <w:szCs w:val="21"/>
          <w14:textFill>
            <w14:solidFill>
              <w14:schemeClr w14:val="tx1"/>
            </w14:solidFill>
          </w14:textFill>
        </w:rPr>
        <w:t>师德师风先进事迹的量化评分总体上从严计分。</w:t>
      </w:r>
    </w:p>
    <w:sectPr>
      <w:pgSz w:w="23814" w:h="16840" w:orient="landscape"/>
      <w:pgMar w:top="1797" w:right="1134" w:bottom="179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auto"/>
    <w:pitch w:val="default"/>
    <w:sig w:usb0="E00002FF" w:usb1="6AC7FDFB" w:usb2="08000012" w:usb3="00000000" w:csb0="4002009F" w:csb1="DFD7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42C"/>
    <w:rsid w:val="000130DF"/>
    <w:rsid w:val="0012378A"/>
    <w:rsid w:val="00276684"/>
    <w:rsid w:val="002A7382"/>
    <w:rsid w:val="0037542C"/>
    <w:rsid w:val="00377F12"/>
    <w:rsid w:val="0041104E"/>
    <w:rsid w:val="00433C89"/>
    <w:rsid w:val="004565BF"/>
    <w:rsid w:val="006C3178"/>
    <w:rsid w:val="007B661C"/>
    <w:rsid w:val="008E0451"/>
    <w:rsid w:val="008F1678"/>
    <w:rsid w:val="00913DD2"/>
    <w:rsid w:val="009C0DD9"/>
    <w:rsid w:val="00A44B4A"/>
    <w:rsid w:val="00A77B05"/>
    <w:rsid w:val="00B77877"/>
    <w:rsid w:val="00B95886"/>
    <w:rsid w:val="00BC1EA9"/>
    <w:rsid w:val="00BC4DE3"/>
    <w:rsid w:val="00BD5766"/>
    <w:rsid w:val="00C91BD5"/>
    <w:rsid w:val="00D47F8E"/>
    <w:rsid w:val="00E2662D"/>
    <w:rsid w:val="00E26FDF"/>
    <w:rsid w:val="00E639D9"/>
    <w:rsid w:val="00FD5D3C"/>
    <w:rsid w:val="035238DD"/>
    <w:rsid w:val="0411177B"/>
    <w:rsid w:val="042671E0"/>
    <w:rsid w:val="04F73D35"/>
    <w:rsid w:val="05A35C44"/>
    <w:rsid w:val="088B54BE"/>
    <w:rsid w:val="093B4482"/>
    <w:rsid w:val="093B6B7B"/>
    <w:rsid w:val="095474A8"/>
    <w:rsid w:val="0C183830"/>
    <w:rsid w:val="0C2923E4"/>
    <w:rsid w:val="0D9D7606"/>
    <w:rsid w:val="0DF75913"/>
    <w:rsid w:val="0F8646D8"/>
    <w:rsid w:val="0FCF6442"/>
    <w:rsid w:val="10BB5016"/>
    <w:rsid w:val="11097CCF"/>
    <w:rsid w:val="11340C1A"/>
    <w:rsid w:val="117A1450"/>
    <w:rsid w:val="1216209E"/>
    <w:rsid w:val="14D55B78"/>
    <w:rsid w:val="156549EA"/>
    <w:rsid w:val="156552ED"/>
    <w:rsid w:val="165C162B"/>
    <w:rsid w:val="1853105F"/>
    <w:rsid w:val="19761178"/>
    <w:rsid w:val="1A5E0A51"/>
    <w:rsid w:val="1B4A0CE1"/>
    <w:rsid w:val="1CE27CC1"/>
    <w:rsid w:val="1D286625"/>
    <w:rsid w:val="1E307369"/>
    <w:rsid w:val="1E6C3185"/>
    <w:rsid w:val="218B3B19"/>
    <w:rsid w:val="23372CBA"/>
    <w:rsid w:val="246666E0"/>
    <w:rsid w:val="27033576"/>
    <w:rsid w:val="27BD2579"/>
    <w:rsid w:val="27FF3951"/>
    <w:rsid w:val="28AF1B8D"/>
    <w:rsid w:val="29710787"/>
    <w:rsid w:val="2B9F5167"/>
    <w:rsid w:val="2BF366B6"/>
    <w:rsid w:val="2D3A4112"/>
    <w:rsid w:val="2F2E792D"/>
    <w:rsid w:val="2F423086"/>
    <w:rsid w:val="33420938"/>
    <w:rsid w:val="337D176E"/>
    <w:rsid w:val="338B7122"/>
    <w:rsid w:val="34FB59BF"/>
    <w:rsid w:val="369C28E7"/>
    <w:rsid w:val="36EB6801"/>
    <w:rsid w:val="37383E73"/>
    <w:rsid w:val="39002007"/>
    <w:rsid w:val="39522866"/>
    <w:rsid w:val="3A6B0116"/>
    <w:rsid w:val="3BC97663"/>
    <w:rsid w:val="3BD515DC"/>
    <w:rsid w:val="3CDF6213"/>
    <w:rsid w:val="3FA044AE"/>
    <w:rsid w:val="3FC439FB"/>
    <w:rsid w:val="3FF76DB8"/>
    <w:rsid w:val="427F4C42"/>
    <w:rsid w:val="4323047B"/>
    <w:rsid w:val="446C2E97"/>
    <w:rsid w:val="45706743"/>
    <w:rsid w:val="45B93130"/>
    <w:rsid w:val="47E862B5"/>
    <w:rsid w:val="482F7869"/>
    <w:rsid w:val="48B3684B"/>
    <w:rsid w:val="4A4754F5"/>
    <w:rsid w:val="4A8F3258"/>
    <w:rsid w:val="4BC868F8"/>
    <w:rsid w:val="4CF81EE2"/>
    <w:rsid w:val="4D5C4E8E"/>
    <w:rsid w:val="4D8A6E3F"/>
    <w:rsid w:val="4D963D36"/>
    <w:rsid w:val="4FEA4EA5"/>
    <w:rsid w:val="508B0DED"/>
    <w:rsid w:val="51EE3A75"/>
    <w:rsid w:val="53006086"/>
    <w:rsid w:val="54860E57"/>
    <w:rsid w:val="54BB3751"/>
    <w:rsid w:val="54BF28AD"/>
    <w:rsid w:val="5809340F"/>
    <w:rsid w:val="58A374A1"/>
    <w:rsid w:val="59832A8B"/>
    <w:rsid w:val="59977E7E"/>
    <w:rsid w:val="59C265D5"/>
    <w:rsid w:val="5C815B42"/>
    <w:rsid w:val="5D984DD2"/>
    <w:rsid w:val="5DED5D27"/>
    <w:rsid w:val="60375F10"/>
    <w:rsid w:val="6056661B"/>
    <w:rsid w:val="610A6315"/>
    <w:rsid w:val="61BD15A9"/>
    <w:rsid w:val="62221D70"/>
    <w:rsid w:val="62BB3658"/>
    <w:rsid w:val="68D9396E"/>
    <w:rsid w:val="69310134"/>
    <w:rsid w:val="69590C98"/>
    <w:rsid w:val="69CA4714"/>
    <w:rsid w:val="6A5C6316"/>
    <w:rsid w:val="6C260CFE"/>
    <w:rsid w:val="6DAF3CFF"/>
    <w:rsid w:val="6E60267F"/>
    <w:rsid w:val="6F7665A2"/>
    <w:rsid w:val="703F3CB7"/>
    <w:rsid w:val="72026374"/>
    <w:rsid w:val="722025B4"/>
    <w:rsid w:val="73060F76"/>
    <w:rsid w:val="731E0BA5"/>
    <w:rsid w:val="757218B7"/>
    <w:rsid w:val="7A7A2FA3"/>
    <w:rsid w:val="7AB02487"/>
    <w:rsid w:val="7B476A83"/>
    <w:rsid w:val="7B7D18AF"/>
    <w:rsid w:val="7BC269E4"/>
    <w:rsid w:val="7CA65911"/>
    <w:rsid w:val="7ED96029"/>
    <w:rsid w:val="7F640676"/>
    <w:rsid w:val="7FF16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1369</Words>
  <Characters>7805</Characters>
  <Lines>65</Lines>
  <Paragraphs>18</Paragraphs>
  <TotalTime>10</TotalTime>
  <ScaleCrop>false</ScaleCrop>
  <LinksUpToDate>false</LinksUpToDate>
  <CharactersWithSpaces>9156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2021-12-14T06:41:00Z</dcterms:created>
  <dc:creator>何莹</dc:creator>
  <cp:lastModifiedBy>Lu</cp:lastModifiedBy>
  <cp:lastPrinted>2020-12-16T03:49:00Z</cp:lastPrinted>
  <dcterms:modified xsi:type="dcterms:W3CDTF">2021-12-14T15:25:20Z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BBE823A87FFC4277B4832047B4A56C78</vt:lpwstr>
  </property>
</Properties>
</file>