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rPr>
          <w:rFonts w:eastAsia="黑体"/>
          <w:bCs/>
          <w:sz w:val="36"/>
          <w:szCs w:val="36"/>
        </w:rPr>
      </w:pPr>
      <w:r>
        <w:rPr>
          <w:rFonts w:eastAsia="黑体"/>
          <w:sz w:val="32"/>
          <w:szCs w:val="32"/>
        </w:rPr>
        <w:t xml:space="preserve">表2 </w:t>
      </w:r>
      <w:r>
        <w:rPr>
          <w:rFonts w:eastAsia="黑体"/>
          <w:b/>
          <w:bCs/>
          <w:sz w:val="36"/>
          <w:szCs w:val="36"/>
        </w:rPr>
        <w:t xml:space="preserve">                   </w:t>
      </w:r>
      <w:r>
        <w:rPr>
          <w:rFonts w:eastAsia="方正小标宋简体"/>
          <w:bCs/>
          <w:sz w:val="44"/>
          <w:szCs w:val="44"/>
        </w:rPr>
        <w:t>湖南省高等学校教师系列高级专业技术职称申报人员情况公示表</w:t>
      </w:r>
    </w:p>
    <w:p>
      <w:pPr>
        <w:spacing w:line="400" w:lineRule="exact"/>
        <w:jc w:val="center"/>
        <w:rPr>
          <w:bCs/>
          <w:sz w:val="32"/>
          <w:szCs w:val="32"/>
          <w:u w:val="single"/>
        </w:rPr>
      </w:pPr>
      <w:r>
        <w:rPr>
          <w:bCs/>
          <w:sz w:val="32"/>
          <w:szCs w:val="32"/>
        </w:rPr>
        <w:t>单位</w:t>
      </w:r>
      <w:r>
        <w:rPr>
          <w:rFonts w:hint="eastAsia"/>
          <w:bCs/>
          <w:sz w:val="32"/>
          <w:szCs w:val="32"/>
          <w:lang w:eastAsia="zh-CN"/>
        </w:rPr>
        <w:t>：</w:t>
      </w:r>
      <w:r>
        <w:rPr>
          <w:bCs/>
          <w:sz w:val="32"/>
          <w:szCs w:val="32"/>
          <w:u w:val="single"/>
        </w:rPr>
        <w:t xml:space="preserve"> </w:t>
      </w:r>
      <w:r>
        <w:rPr>
          <w:rFonts w:hint="eastAsia"/>
          <w:bCs/>
          <w:sz w:val="32"/>
          <w:szCs w:val="32"/>
          <w:u w:val="single"/>
          <w:lang w:val="en-US" w:eastAsia="zh-CN"/>
        </w:rPr>
        <w:t xml:space="preserve">湖南商务职业技术学院 </w:t>
      </w:r>
      <w:r>
        <w:rPr>
          <w:bCs/>
          <w:sz w:val="32"/>
          <w:szCs w:val="32"/>
          <w:u w:val="single"/>
        </w:rPr>
        <w:t xml:space="preserve"> </w:t>
      </w:r>
      <w:r>
        <w:rPr>
          <w:bCs/>
          <w:sz w:val="32"/>
          <w:szCs w:val="32"/>
        </w:rPr>
        <w:t xml:space="preserve">  姓名</w:t>
      </w:r>
      <w:r>
        <w:rPr>
          <w:rFonts w:hint="eastAsia"/>
          <w:bCs/>
          <w:sz w:val="32"/>
          <w:szCs w:val="32"/>
          <w:lang w:eastAsia="zh-CN"/>
        </w:rPr>
        <w:t>：</w:t>
      </w:r>
      <w:r>
        <w:rPr>
          <w:bCs/>
          <w:sz w:val="32"/>
          <w:szCs w:val="32"/>
          <w:u w:val="single"/>
        </w:rPr>
        <w:t xml:space="preserve"> </w:t>
      </w:r>
      <w:r>
        <w:rPr>
          <w:rFonts w:hint="eastAsia"/>
          <w:bCs/>
          <w:sz w:val="32"/>
          <w:szCs w:val="32"/>
          <w:u w:val="single"/>
          <w:lang w:val="en-US" w:eastAsia="zh-CN"/>
        </w:rPr>
        <w:t xml:space="preserve"> 贾妍  </w:t>
      </w:r>
      <w:r>
        <w:rPr>
          <w:bCs/>
          <w:sz w:val="32"/>
          <w:szCs w:val="32"/>
        </w:rPr>
        <w:t xml:space="preserve">  申报职称</w:t>
      </w:r>
      <w:r>
        <w:rPr>
          <w:rFonts w:hint="eastAsia"/>
          <w:bCs/>
          <w:sz w:val="32"/>
          <w:szCs w:val="32"/>
          <w:lang w:eastAsia="zh-CN"/>
        </w:rPr>
        <w:t>：</w:t>
      </w:r>
      <w:r>
        <w:rPr>
          <w:bCs/>
          <w:sz w:val="32"/>
          <w:szCs w:val="32"/>
          <w:u w:val="single"/>
        </w:rPr>
        <w:t xml:space="preserve"> </w:t>
      </w:r>
      <w:r>
        <w:rPr>
          <w:rFonts w:hint="eastAsia"/>
          <w:bCs/>
          <w:sz w:val="32"/>
          <w:szCs w:val="32"/>
          <w:u w:val="single"/>
          <w:lang w:val="en-US" w:eastAsia="zh-CN"/>
        </w:rPr>
        <w:t xml:space="preserve"> 副教授（教学科研型</w:t>
      </w:r>
      <w:bookmarkStart w:id="0" w:name="_GoBack"/>
      <w:bookmarkEnd w:id="0"/>
      <w:r>
        <w:rPr>
          <w:rFonts w:hint="eastAsia"/>
          <w:bCs/>
          <w:sz w:val="32"/>
          <w:szCs w:val="32"/>
          <w:u w:val="single"/>
          <w:lang w:val="en-US" w:eastAsia="zh-CN"/>
        </w:rPr>
        <w:t>）</w:t>
      </w:r>
      <w:r>
        <w:rPr>
          <w:bCs/>
          <w:sz w:val="32"/>
          <w:szCs w:val="32"/>
          <w:u w:val="single"/>
        </w:rPr>
        <w:t xml:space="preserve">    </w:t>
      </w:r>
      <w:r>
        <w:rPr>
          <w:rFonts w:eastAsia="黑体"/>
          <w:b/>
          <w:bCs/>
          <w:sz w:val="32"/>
          <w:szCs w:val="32"/>
        </w:rPr>
        <w:t xml:space="preserve">  </w:t>
      </w:r>
      <w:r>
        <w:rPr>
          <w:bCs/>
          <w:sz w:val="32"/>
          <w:szCs w:val="32"/>
        </w:rPr>
        <w:t>学科（专业）</w:t>
      </w:r>
      <w:r>
        <w:rPr>
          <w:bCs/>
          <w:sz w:val="32"/>
          <w:szCs w:val="32"/>
          <w:u w:val="single"/>
        </w:rPr>
        <w:t xml:space="preserve">  </w:t>
      </w:r>
      <w:r>
        <w:rPr>
          <w:rFonts w:hint="eastAsia"/>
          <w:bCs/>
          <w:sz w:val="32"/>
          <w:szCs w:val="32"/>
          <w:u w:val="single"/>
          <w:lang w:val="en-US" w:eastAsia="zh-CN"/>
        </w:rPr>
        <w:t>管理学</w:t>
      </w:r>
      <w:r>
        <w:rPr>
          <w:bCs/>
          <w:sz w:val="32"/>
          <w:szCs w:val="32"/>
          <w:u w:val="single"/>
        </w:rPr>
        <w:t xml:space="preserve">    </w:t>
      </w:r>
    </w:p>
    <w:tbl>
      <w:tblPr>
        <w:tblStyle w:val="2"/>
        <w:tblW w:w="223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0"/>
        <w:gridCol w:w="1262"/>
        <w:gridCol w:w="93"/>
        <w:gridCol w:w="1355"/>
        <w:gridCol w:w="159"/>
        <w:gridCol w:w="1103"/>
        <w:gridCol w:w="93"/>
        <w:gridCol w:w="1356"/>
        <w:gridCol w:w="722"/>
        <w:gridCol w:w="1114"/>
        <w:gridCol w:w="1414"/>
        <w:gridCol w:w="786"/>
        <w:gridCol w:w="885"/>
        <w:gridCol w:w="1083"/>
        <w:gridCol w:w="1395"/>
        <w:gridCol w:w="1204"/>
        <w:gridCol w:w="1344"/>
        <w:gridCol w:w="1658"/>
        <w:gridCol w:w="637"/>
        <w:gridCol w:w="694"/>
        <w:gridCol w:w="633"/>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atLeast"/>
          <w:jc w:val="center"/>
        </w:trPr>
        <w:tc>
          <w:tcPr>
            <w:tcW w:w="6776" w:type="dxa"/>
            <w:gridSpan w:val="9"/>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基本情况</w:t>
            </w:r>
          </w:p>
        </w:tc>
        <w:tc>
          <w:tcPr>
            <w:tcW w:w="15560" w:type="dxa"/>
            <w:gridSpan w:val="16"/>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jc w:val="center"/>
        </w:trPr>
        <w:tc>
          <w:tcPr>
            <w:tcW w:w="1335" w:type="dxa"/>
            <w:tcBorders>
              <w:left w:val="single" w:color="auto" w:sz="4" w:space="0"/>
              <w:right w:val="single" w:color="auto" w:sz="4" w:space="0"/>
            </w:tcBorders>
            <w:noWrap w:val="0"/>
            <w:vAlign w:val="center"/>
          </w:tcPr>
          <w:p>
            <w:pPr>
              <w:spacing w:line="280" w:lineRule="exact"/>
              <w:jc w:val="distribute"/>
              <w:rPr>
                <w:szCs w:val="21"/>
              </w:rPr>
            </w:pPr>
            <w:r>
              <w:rPr>
                <w:szCs w:val="21"/>
              </w:rPr>
              <w:t>姓  名</w:t>
            </w:r>
          </w:p>
        </w:tc>
        <w:tc>
          <w:tcPr>
            <w:tcW w:w="1282" w:type="dxa"/>
            <w:gridSpan w:val="2"/>
            <w:tcBorders>
              <w:left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贾妍</w:t>
            </w:r>
          </w:p>
        </w:tc>
        <w:tc>
          <w:tcPr>
            <w:tcW w:w="2710" w:type="dxa"/>
            <w:gridSpan w:val="4"/>
            <w:tcBorders>
              <w:left w:val="single" w:color="auto" w:sz="4" w:space="0"/>
              <w:right w:val="single" w:color="auto" w:sz="4" w:space="0"/>
            </w:tcBorders>
            <w:noWrap w:val="0"/>
            <w:vAlign w:val="center"/>
          </w:tcPr>
          <w:p>
            <w:pPr>
              <w:jc w:val="center"/>
              <w:rPr>
                <w:szCs w:val="21"/>
              </w:rPr>
            </w:pPr>
            <w:r>
              <w:rPr>
                <w:szCs w:val="21"/>
              </w:rPr>
              <w:t>出生年月</w:t>
            </w:r>
          </w:p>
        </w:tc>
        <w:tc>
          <w:tcPr>
            <w:tcW w:w="1449" w:type="dxa"/>
            <w:gridSpan w:val="2"/>
            <w:tcBorders>
              <w:left w:val="single" w:color="auto" w:sz="4" w:space="0"/>
              <w:right w:val="single" w:color="auto" w:sz="4" w:space="0"/>
            </w:tcBorders>
            <w:noWrap w:val="0"/>
            <w:vAlign w:val="center"/>
          </w:tcPr>
          <w:p>
            <w:pPr>
              <w:spacing w:line="280" w:lineRule="exact"/>
              <w:ind w:left="-63" w:leftChars="-30" w:right="-73" w:rightChars="-35"/>
              <w:jc w:val="center"/>
              <w:rPr>
                <w:rFonts w:hint="default" w:eastAsia="宋体"/>
                <w:szCs w:val="21"/>
                <w:lang w:val="en-US" w:eastAsia="zh-CN"/>
              </w:rPr>
            </w:pPr>
            <w:r>
              <w:rPr>
                <w:rFonts w:hint="eastAsia"/>
                <w:szCs w:val="21"/>
                <w:lang w:val="en-US" w:eastAsia="zh-CN"/>
              </w:rPr>
              <w:t>1982.10</w:t>
            </w: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教学工作</w:t>
            </w:r>
          </w:p>
          <w:p>
            <w:pPr>
              <w:spacing w:line="280" w:lineRule="exact"/>
              <w:jc w:val="center"/>
              <w:rPr>
                <w:szCs w:val="21"/>
              </w:rPr>
            </w:pPr>
          </w:p>
        </w:tc>
        <w:tc>
          <w:tcPr>
            <w:tcW w:w="5282" w:type="dxa"/>
            <w:gridSpan w:val="5"/>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教学工作量（其它教学工作量按本校方式计算）</w:t>
            </w:r>
          </w:p>
        </w:tc>
        <w:tc>
          <w:tcPr>
            <w:tcW w:w="6932" w:type="dxa"/>
            <w:gridSpan w:val="6"/>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主要教学业绩</w:t>
            </w:r>
          </w:p>
        </w:tc>
        <w:tc>
          <w:tcPr>
            <w:tcW w:w="1383" w:type="dxa"/>
            <w:gridSpan w:val="2"/>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指导青年教师情况</w:t>
            </w:r>
          </w:p>
        </w:tc>
        <w:tc>
          <w:tcPr>
            <w:tcW w:w="1241" w:type="dxa"/>
            <w:gridSpan w:val="2"/>
            <w:vMerge w:val="restart"/>
            <w:tcBorders>
              <w:left w:val="single" w:color="auto" w:sz="4" w:space="0"/>
              <w:right w:val="single" w:color="auto" w:sz="4" w:space="0"/>
            </w:tcBorders>
            <w:noWrap w:val="0"/>
            <w:vAlign w:val="top"/>
          </w:tcPr>
          <w:p>
            <w:pPr>
              <w:spacing w:line="280" w:lineRule="exact"/>
              <w:jc w:val="center"/>
              <w:rPr>
                <w:szCs w:val="21"/>
              </w:rPr>
            </w:pPr>
            <w:r>
              <w:rPr>
                <w:szCs w:val="21"/>
              </w:rPr>
              <w:t>教务部门审核意见（盖章）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性  别</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女</w:t>
            </w:r>
          </w:p>
        </w:tc>
        <w:tc>
          <w:tcPr>
            <w:tcW w:w="2710" w:type="dxa"/>
            <w:gridSpan w:val="4"/>
            <w:vMerge w:val="restart"/>
            <w:tcBorders>
              <w:left w:val="single" w:color="auto" w:sz="4" w:space="0"/>
              <w:right w:val="single" w:color="auto" w:sz="4" w:space="0"/>
            </w:tcBorders>
            <w:noWrap w:val="0"/>
            <w:vAlign w:val="center"/>
          </w:tcPr>
          <w:p>
            <w:pPr>
              <w:ind w:left="-86" w:leftChars="-41" w:right="-80" w:rightChars="-38"/>
              <w:jc w:val="center"/>
              <w:rPr>
                <w:szCs w:val="21"/>
              </w:rPr>
            </w:pPr>
            <w:r>
              <w:rPr>
                <w:szCs w:val="21"/>
              </w:rPr>
              <w:t>参加工作时间</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default" w:eastAsia="宋体"/>
                <w:szCs w:val="21"/>
                <w:lang w:val="en-US" w:eastAsia="zh-CN"/>
              </w:rPr>
            </w:pPr>
            <w:r>
              <w:rPr>
                <w:rFonts w:hint="eastAsia"/>
                <w:szCs w:val="21"/>
                <w:lang w:val="en-US" w:eastAsia="zh-CN"/>
              </w:rPr>
              <w:t>2009.9</w:t>
            </w:r>
          </w:p>
        </w:tc>
        <w:tc>
          <w:tcPr>
            <w:tcW w:w="722" w:type="dxa"/>
            <w:vMerge w:val="continue"/>
            <w:tcBorders>
              <w:left w:val="single" w:color="auto" w:sz="4" w:space="0"/>
              <w:right w:val="single" w:color="auto" w:sz="4" w:space="0"/>
            </w:tcBorders>
            <w:noWrap w:val="0"/>
            <w:vAlign w:val="center"/>
          </w:tcPr>
          <w:p>
            <w:pPr>
              <w:spacing w:line="280" w:lineRule="exact"/>
              <w:jc w:val="center"/>
              <w:rPr>
                <w:b/>
                <w:szCs w:val="21"/>
              </w:rPr>
            </w:pPr>
          </w:p>
        </w:tc>
        <w:tc>
          <w:tcPr>
            <w:tcW w:w="1114" w:type="dxa"/>
            <w:vMerge w:val="restart"/>
            <w:tcBorders>
              <w:left w:val="single" w:color="auto" w:sz="4" w:space="0"/>
              <w:right w:val="single" w:color="auto" w:sz="4" w:space="0"/>
            </w:tcBorders>
            <w:noWrap w:val="0"/>
            <w:vAlign w:val="center"/>
          </w:tcPr>
          <w:p>
            <w:pPr>
              <w:spacing w:line="280" w:lineRule="exact"/>
              <w:ind w:left="-44" w:leftChars="-21" w:right="-42" w:rightChars="-20"/>
              <w:jc w:val="center"/>
              <w:rPr>
                <w:szCs w:val="21"/>
              </w:rPr>
            </w:pPr>
            <w:r>
              <w:rPr>
                <w:szCs w:val="21"/>
              </w:rPr>
              <w:t>按年度填写教学工作量</w:t>
            </w:r>
          </w:p>
        </w:tc>
        <w:tc>
          <w:tcPr>
            <w:tcW w:w="1414" w:type="dxa"/>
            <w:vMerge w:val="restart"/>
            <w:tcBorders>
              <w:left w:val="single" w:color="auto" w:sz="4" w:space="0"/>
              <w:right w:val="single" w:color="auto" w:sz="4" w:space="0"/>
            </w:tcBorders>
            <w:noWrap w:val="0"/>
            <w:vAlign w:val="center"/>
          </w:tcPr>
          <w:p>
            <w:pPr>
              <w:spacing w:line="280" w:lineRule="exact"/>
              <w:ind w:left="-94" w:right="-61" w:rightChars="-29"/>
              <w:jc w:val="center"/>
              <w:rPr>
                <w:szCs w:val="21"/>
              </w:rPr>
            </w:pPr>
            <w:r>
              <w:rPr>
                <w:szCs w:val="21"/>
              </w:rPr>
              <w:t>年度</w:t>
            </w:r>
          </w:p>
        </w:tc>
        <w:tc>
          <w:tcPr>
            <w:tcW w:w="1671" w:type="dxa"/>
            <w:gridSpan w:val="2"/>
            <w:tcBorders>
              <w:left w:val="single" w:color="auto" w:sz="4" w:space="0"/>
              <w:right w:val="single" w:color="auto" w:sz="4" w:space="0"/>
            </w:tcBorders>
            <w:noWrap w:val="0"/>
            <w:vAlign w:val="center"/>
          </w:tcPr>
          <w:p>
            <w:pPr>
              <w:spacing w:line="280" w:lineRule="exact"/>
              <w:ind w:left="-67" w:right="-76" w:rightChars="-36"/>
              <w:jc w:val="center"/>
              <w:rPr>
                <w:szCs w:val="21"/>
              </w:rPr>
            </w:pPr>
            <w:r>
              <w:rPr>
                <w:szCs w:val="21"/>
              </w:rPr>
              <w:t>课堂教学（学时）</w:t>
            </w:r>
          </w:p>
        </w:tc>
        <w:tc>
          <w:tcPr>
            <w:tcW w:w="1083" w:type="dxa"/>
            <w:vMerge w:val="restart"/>
            <w:tcBorders>
              <w:left w:val="single" w:color="auto" w:sz="4" w:space="0"/>
              <w:right w:val="single" w:color="auto" w:sz="4" w:space="0"/>
            </w:tcBorders>
            <w:noWrap w:val="0"/>
            <w:vAlign w:val="center"/>
          </w:tcPr>
          <w:p>
            <w:pPr>
              <w:spacing w:line="280" w:lineRule="exact"/>
              <w:ind w:left="-63" w:leftChars="-30" w:right="-59" w:rightChars="-28"/>
              <w:jc w:val="center"/>
              <w:rPr>
                <w:szCs w:val="21"/>
              </w:rPr>
            </w:pPr>
            <w:r>
              <w:rPr>
                <w:szCs w:val="21"/>
              </w:rPr>
              <w:t>其它教学工作量</w:t>
            </w:r>
          </w:p>
        </w:tc>
        <w:tc>
          <w:tcPr>
            <w:tcW w:w="6932" w:type="dxa"/>
            <w:gridSpan w:val="6"/>
            <w:vMerge w:val="restart"/>
            <w:tcBorders>
              <w:left w:val="single" w:color="auto" w:sz="4" w:space="0"/>
              <w:right w:val="single" w:color="auto" w:sz="4" w:space="0"/>
            </w:tcBorders>
            <w:noWrap w:val="0"/>
            <w:vAlign w:val="center"/>
          </w:tcPr>
          <w:p>
            <w:pPr>
              <w:numPr>
                <w:ilvl w:val="0"/>
                <w:numId w:val="0"/>
              </w:numPr>
              <w:spacing w:line="280" w:lineRule="exact"/>
              <w:jc w:val="left"/>
              <w:rPr>
                <w:szCs w:val="21"/>
              </w:rPr>
            </w:pPr>
            <w:r>
              <w:rPr>
                <w:rFonts w:hint="eastAsia"/>
                <w:szCs w:val="21"/>
                <w:lang w:val="en-US" w:eastAsia="zh-CN"/>
              </w:rPr>
              <w:t>1、</w:t>
            </w:r>
            <w:r>
              <w:rPr>
                <w:rFonts w:hint="eastAsia"/>
                <w:szCs w:val="21"/>
              </w:rPr>
              <w:t>承担了《</w:t>
            </w:r>
            <w:r>
              <w:rPr>
                <w:rFonts w:hint="eastAsia"/>
                <w:szCs w:val="21"/>
                <w:lang w:val="en-US" w:eastAsia="zh-CN"/>
              </w:rPr>
              <w:t>现代物流基础</w:t>
            </w:r>
            <w:r>
              <w:rPr>
                <w:szCs w:val="21"/>
              </w:rPr>
              <w:t>》</w:t>
            </w:r>
            <w:r>
              <w:rPr>
                <w:rFonts w:hint="eastAsia"/>
                <w:szCs w:val="21"/>
              </w:rPr>
              <w:t>、《</w:t>
            </w:r>
            <w:r>
              <w:rPr>
                <w:rFonts w:hint="eastAsia"/>
                <w:szCs w:val="21"/>
                <w:lang w:val="en-US" w:eastAsia="zh-CN"/>
              </w:rPr>
              <w:t>快递实务</w:t>
            </w:r>
            <w:r>
              <w:rPr>
                <w:rFonts w:hint="eastAsia"/>
                <w:szCs w:val="21"/>
              </w:rPr>
              <w:t>》等</w:t>
            </w:r>
            <w:r>
              <w:rPr>
                <w:rFonts w:hint="eastAsia"/>
                <w:szCs w:val="21"/>
                <w:lang w:val="en-US" w:eastAsia="zh-CN"/>
              </w:rPr>
              <w:t>9</w:t>
            </w:r>
            <w:r>
              <w:rPr>
                <w:rFonts w:hint="eastAsia"/>
                <w:szCs w:val="21"/>
              </w:rPr>
              <w:t>门专业课程的教学，系统指导了</w:t>
            </w:r>
            <w:r>
              <w:rPr>
                <w:rFonts w:hint="eastAsia"/>
                <w:szCs w:val="21"/>
                <w:lang w:val="en-US" w:eastAsia="zh-CN"/>
              </w:rPr>
              <w:t>仓储管理</w:t>
            </w:r>
            <w:r>
              <w:rPr>
                <w:rFonts w:hint="eastAsia"/>
                <w:szCs w:val="21"/>
              </w:rPr>
              <w:t>实训，</w:t>
            </w:r>
            <w:r>
              <w:rPr>
                <w:rFonts w:hint="eastAsia"/>
                <w:szCs w:val="21"/>
                <w:lang w:val="en-US" w:eastAsia="zh-CN"/>
              </w:rPr>
              <w:t>物流</w:t>
            </w:r>
            <w:r>
              <w:rPr>
                <w:rFonts w:hint="eastAsia"/>
                <w:szCs w:val="21"/>
              </w:rPr>
              <w:t>沙盘实训，专业综合实训，毕业设计等专业实践课程教学任务。</w:t>
            </w:r>
          </w:p>
          <w:p>
            <w:pPr>
              <w:numPr>
                <w:ilvl w:val="0"/>
                <w:numId w:val="0"/>
              </w:numPr>
              <w:spacing w:line="280" w:lineRule="exact"/>
              <w:jc w:val="both"/>
              <w:rPr>
                <w:rFonts w:hint="eastAsia"/>
                <w:szCs w:val="21"/>
                <w:lang w:val="en-US" w:eastAsia="zh-CN"/>
              </w:rPr>
            </w:pPr>
            <w:r>
              <w:rPr>
                <w:rFonts w:hint="eastAsia"/>
                <w:szCs w:val="21"/>
              </w:rPr>
              <w:t>2、</w:t>
            </w:r>
            <w:r>
              <w:rPr>
                <w:rFonts w:hint="eastAsia"/>
                <w:szCs w:val="21"/>
                <w:lang w:val="en-US" w:eastAsia="zh-CN"/>
              </w:rPr>
              <w:t>2013、</w:t>
            </w:r>
            <w:r>
              <w:rPr>
                <w:rFonts w:hint="eastAsia"/>
                <w:szCs w:val="21"/>
              </w:rPr>
              <w:t>20</w:t>
            </w:r>
            <w:r>
              <w:rPr>
                <w:rFonts w:hint="eastAsia"/>
                <w:szCs w:val="21"/>
                <w:lang w:val="en-US" w:eastAsia="zh-CN"/>
              </w:rPr>
              <w:t>15</w:t>
            </w:r>
            <w:r>
              <w:rPr>
                <w:szCs w:val="21"/>
              </w:rPr>
              <w:t>~</w:t>
            </w:r>
            <w:r>
              <w:rPr>
                <w:rFonts w:hint="eastAsia"/>
                <w:szCs w:val="21"/>
              </w:rPr>
              <w:t>201</w:t>
            </w:r>
            <w:r>
              <w:rPr>
                <w:rFonts w:hint="eastAsia"/>
                <w:szCs w:val="21"/>
                <w:lang w:val="en-US" w:eastAsia="zh-CN"/>
              </w:rPr>
              <w:t>9年</w:t>
            </w:r>
            <w:r>
              <w:rPr>
                <w:rFonts w:hint="eastAsia"/>
                <w:szCs w:val="21"/>
              </w:rPr>
              <w:t>被评为年度先进个人</w:t>
            </w:r>
            <w:r>
              <w:rPr>
                <w:rFonts w:hint="eastAsia"/>
                <w:szCs w:val="21"/>
                <w:lang w:eastAsia="zh-CN"/>
              </w:rPr>
              <w:t>，</w:t>
            </w:r>
            <w:r>
              <w:rPr>
                <w:rFonts w:hint="eastAsia"/>
                <w:szCs w:val="21"/>
                <w:lang w:val="en-US" w:eastAsia="zh-CN"/>
              </w:rPr>
              <w:t>2018年“教书育人”楷模荣誉称号。</w:t>
            </w:r>
          </w:p>
          <w:p>
            <w:pPr>
              <w:numPr>
                <w:ilvl w:val="0"/>
                <w:numId w:val="0"/>
              </w:numPr>
              <w:spacing w:line="280" w:lineRule="exact"/>
              <w:ind w:leftChars="0"/>
              <w:jc w:val="both"/>
              <w:rPr>
                <w:rFonts w:hint="eastAsia" w:ascii="宋体" w:hAnsi="宋体"/>
                <w:szCs w:val="21"/>
                <w:lang w:val="en-US" w:eastAsia="zh-CN"/>
              </w:rPr>
            </w:pPr>
            <w:r>
              <w:rPr>
                <w:rFonts w:hint="eastAsia" w:ascii="宋体" w:hAnsi="宋体"/>
                <w:szCs w:val="21"/>
                <w:lang w:val="en-US" w:eastAsia="zh-CN"/>
              </w:rPr>
              <w:t>3、申报</w:t>
            </w:r>
            <w:r>
              <w:rPr>
                <w:rFonts w:hint="eastAsia" w:ascii="宋体" w:hAnsi="宋体"/>
                <w:kern w:val="2"/>
                <w:sz w:val="21"/>
                <w:szCs w:val="21"/>
                <w:lang w:val="en-US" w:eastAsia="zh-CN" w:bidi="ar-SA"/>
              </w:rPr>
              <w:t>职业院校教师素质提升计划2017年度国家级培训项目（“双师型”教师专业技能训练项目---物流管理专业），并组织实施</w:t>
            </w:r>
            <w:r>
              <w:rPr>
                <w:rFonts w:hint="eastAsia" w:ascii="宋体" w:hAnsi="宋体"/>
                <w:szCs w:val="21"/>
                <w:lang w:val="en-US" w:eastAsia="zh-CN"/>
              </w:rPr>
              <w:t>。</w:t>
            </w:r>
          </w:p>
          <w:p>
            <w:pPr>
              <w:numPr>
                <w:ilvl w:val="0"/>
                <w:numId w:val="0"/>
              </w:numPr>
              <w:spacing w:line="280" w:lineRule="exact"/>
              <w:ind w:leftChars="0"/>
              <w:jc w:val="both"/>
              <w:rPr>
                <w:rFonts w:hint="eastAsia"/>
                <w:szCs w:val="21"/>
              </w:rPr>
            </w:pPr>
            <w:r>
              <w:rPr>
                <w:rFonts w:hint="eastAsia"/>
                <w:szCs w:val="21"/>
                <w:lang w:val="en-US" w:eastAsia="zh-CN"/>
              </w:rPr>
              <w:t>4、2017年，参加（排名第二）职业院校信息化教学竞赛获得省二等奖；</w:t>
            </w:r>
            <w:r>
              <w:rPr>
                <w:rFonts w:hint="eastAsia"/>
                <w:szCs w:val="21"/>
              </w:rPr>
              <w:t>指导</w:t>
            </w:r>
            <w:r>
              <w:rPr>
                <w:rFonts w:hint="eastAsia"/>
                <w:szCs w:val="21"/>
                <w:lang w:eastAsia="zh-CN"/>
              </w:rPr>
              <w:t>（</w:t>
            </w:r>
            <w:r>
              <w:rPr>
                <w:rFonts w:hint="eastAsia"/>
                <w:szCs w:val="21"/>
                <w:lang w:val="en-US" w:eastAsia="zh-CN"/>
              </w:rPr>
              <w:t>排名第二</w:t>
            </w:r>
            <w:r>
              <w:rPr>
                <w:rFonts w:hint="eastAsia"/>
                <w:szCs w:val="21"/>
                <w:lang w:eastAsia="zh-CN"/>
              </w:rPr>
              <w:t>）</w:t>
            </w:r>
            <w:r>
              <w:rPr>
                <w:rFonts w:hint="eastAsia"/>
                <w:szCs w:val="21"/>
              </w:rPr>
              <w:t>学生获2011年全国大学生企业经营管理沙盘全国总决赛三等奖，湖南省赛一等奖；指导学生获201</w:t>
            </w:r>
            <w:r>
              <w:rPr>
                <w:rFonts w:hint="eastAsia"/>
                <w:szCs w:val="21"/>
                <w:lang w:val="en-US" w:eastAsia="zh-CN"/>
              </w:rPr>
              <w:t>5</w:t>
            </w:r>
            <w:r>
              <w:rPr>
                <w:rFonts w:hint="eastAsia"/>
                <w:szCs w:val="21"/>
              </w:rPr>
              <w:t>、201</w:t>
            </w:r>
            <w:r>
              <w:rPr>
                <w:rFonts w:hint="eastAsia"/>
                <w:szCs w:val="21"/>
                <w:lang w:val="en-US" w:eastAsia="zh-CN"/>
              </w:rPr>
              <w:t>7</w:t>
            </w:r>
            <w:r>
              <w:rPr>
                <w:rFonts w:hint="eastAsia"/>
                <w:szCs w:val="21"/>
              </w:rPr>
              <w:t>、201</w:t>
            </w:r>
            <w:r>
              <w:rPr>
                <w:rFonts w:hint="eastAsia"/>
                <w:szCs w:val="21"/>
                <w:lang w:val="en-US" w:eastAsia="zh-CN"/>
              </w:rPr>
              <w:t>9</w:t>
            </w:r>
            <w:r>
              <w:rPr>
                <w:rFonts w:hint="eastAsia"/>
                <w:szCs w:val="21"/>
              </w:rPr>
              <w:t>年湖南省职业院校技能竞赛</w:t>
            </w:r>
            <w:r>
              <w:rPr>
                <w:rFonts w:hint="eastAsia"/>
                <w:szCs w:val="21"/>
                <w:lang w:val="en-US" w:eastAsia="zh-CN"/>
              </w:rPr>
              <w:t>二等奖2项、</w:t>
            </w:r>
            <w:r>
              <w:rPr>
                <w:rFonts w:hint="eastAsia"/>
                <w:szCs w:val="21"/>
              </w:rPr>
              <w:t>三等奖</w:t>
            </w:r>
            <w:r>
              <w:rPr>
                <w:rFonts w:hint="eastAsia"/>
                <w:szCs w:val="21"/>
                <w:lang w:val="en-US" w:eastAsia="zh-CN"/>
              </w:rPr>
              <w:t>1项</w:t>
            </w:r>
            <w:r>
              <w:rPr>
                <w:rFonts w:hint="eastAsia"/>
                <w:szCs w:val="21"/>
              </w:rPr>
              <w:t>。</w:t>
            </w:r>
          </w:p>
          <w:p>
            <w:pPr>
              <w:rPr>
                <w:rFonts w:hint="eastAsia" w:ascii="宋体" w:hAnsi="宋体"/>
                <w:szCs w:val="21"/>
                <w:lang w:val="en-US" w:eastAsia="zh-CN"/>
              </w:rPr>
            </w:pPr>
            <w:r>
              <w:rPr>
                <w:rFonts w:hint="eastAsia"/>
                <w:szCs w:val="21"/>
                <w:lang w:val="en-US" w:eastAsia="zh-CN"/>
              </w:rPr>
              <w:t>5、主持</w:t>
            </w:r>
            <w:r>
              <w:rPr>
                <w:rFonts w:hint="eastAsia" w:ascii="宋体" w:hAnsi="宋体"/>
                <w:szCs w:val="21"/>
                <w:lang w:val="en-US" w:eastAsia="zh-CN"/>
              </w:rPr>
              <w:t>申报立项院级在线精品开放课程《现代物流基础》，已结项。</w:t>
            </w:r>
          </w:p>
          <w:p>
            <w:pPr>
              <w:rPr>
                <w:rFonts w:hint="eastAsia" w:eastAsia="宋体"/>
                <w:szCs w:val="21"/>
                <w:lang w:eastAsia="zh-CN"/>
              </w:rPr>
            </w:pPr>
            <w:r>
              <w:rPr>
                <w:rFonts w:hint="eastAsia" w:ascii="宋体" w:hAnsi="宋体"/>
                <w:szCs w:val="21"/>
                <w:lang w:val="en-US" w:eastAsia="zh-CN"/>
              </w:rPr>
              <w:t>6、2017-2018年，主持校企共建“邮政速递物流”工作室并运营。</w:t>
            </w:r>
          </w:p>
        </w:tc>
        <w:tc>
          <w:tcPr>
            <w:tcW w:w="1383"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rFonts w:hint="eastAsia"/>
              </w:rPr>
              <w:t>指导</w:t>
            </w:r>
            <w:r>
              <w:t>成莹洁</w:t>
            </w:r>
            <w:r>
              <w:rPr>
                <w:rFonts w:hint="eastAsia"/>
              </w:rPr>
              <w:t>教师</w:t>
            </w:r>
            <w:r>
              <w:rPr>
                <w:rFonts w:hint="eastAsia"/>
                <w:lang w:val="en-US" w:eastAsia="zh-CN"/>
              </w:rPr>
              <w:t>在课程建设、指导学生技能竞赛、专业建设等方面，</w:t>
            </w:r>
            <w:r>
              <w:rPr>
                <w:rFonts w:hint="eastAsia"/>
              </w:rPr>
              <w:t>提高教育教学科研水平</w:t>
            </w:r>
          </w:p>
        </w:tc>
        <w:tc>
          <w:tcPr>
            <w:tcW w:w="1241" w:type="dxa"/>
            <w:gridSpan w:val="2"/>
            <w:vMerge w:val="continue"/>
            <w:tcBorders>
              <w:left w:val="single" w:color="auto" w:sz="4" w:space="0"/>
              <w:right w:val="single" w:color="auto" w:sz="4" w:space="0"/>
            </w:tcBorders>
            <w:noWrap w:val="0"/>
            <w:vAlign w:val="top"/>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86" w:type="dxa"/>
            <w:vMerge w:val="restart"/>
            <w:tcBorders>
              <w:top w:val="single" w:color="auto" w:sz="4" w:space="0"/>
              <w:left w:val="single" w:color="auto" w:sz="4" w:space="0"/>
              <w:right w:val="single" w:color="auto" w:sz="4" w:space="0"/>
            </w:tcBorders>
            <w:noWrap w:val="0"/>
            <w:vAlign w:val="center"/>
          </w:tcPr>
          <w:p>
            <w:pPr>
              <w:spacing w:line="280" w:lineRule="exact"/>
              <w:ind w:left="-95" w:right="-73" w:rightChars="-35"/>
              <w:jc w:val="center"/>
              <w:rPr>
                <w:szCs w:val="21"/>
              </w:rPr>
            </w:pPr>
            <w:r>
              <w:rPr>
                <w:szCs w:val="21"/>
              </w:rPr>
              <w:t>理论</w:t>
            </w:r>
          </w:p>
          <w:p>
            <w:pPr>
              <w:spacing w:line="280" w:lineRule="exact"/>
              <w:ind w:left="-95" w:right="-73" w:rightChars="-35"/>
              <w:jc w:val="center"/>
              <w:rPr>
                <w:szCs w:val="21"/>
              </w:rPr>
            </w:pPr>
            <w:r>
              <w:rPr>
                <w:szCs w:val="21"/>
              </w:rPr>
              <w:t>教学</w:t>
            </w:r>
          </w:p>
        </w:tc>
        <w:tc>
          <w:tcPr>
            <w:tcW w:w="885" w:type="dxa"/>
            <w:vMerge w:val="restart"/>
            <w:tcBorders>
              <w:top w:val="single" w:color="auto" w:sz="4" w:space="0"/>
              <w:left w:val="single" w:color="auto" w:sz="4" w:space="0"/>
              <w:right w:val="single" w:color="auto" w:sz="4" w:space="0"/>
            </w:tcBorders>
            <w:noWrap w:val="0"/>
            <w:vAlign w:val="center"/>
          </w:tcPr>
          <w:p>
            <w:pPr>
              <w:spacing w:line="280" w:lineRule="exact"/>
              <w:ind w:left="-75"/>
              <w:jc w:val="center"/>
              <w:rPr>
                <w:szCs w:val="21"/>
              </w:rPr>
            </w:pPr>
            <w:r>
              <w:rPr>
                <w:szCs w:val="21"/>
              </w:rPr>
              <w:t>实践</w:t>
            </w:r>
          </w:p>
          <w:p>
            <w:pPr>
              <w:spacing w:line="280" w:lineRule="exact"/>
              <w:ind w:left="-75"/>
              <w:jc w:val="center"/>
              <w:rPr>
                <w:szCs w:val="21"/>
              </w:rPr>
            </w:pPr>
            <w:r>
              <w:rPr>
                <w:szCs w:val="21"/>
              </w:rPr>
              <w:t>教学</w:t>
            </w:r>
          </w:p>
        </w:tc>
        <w:tc>
          <w:tcPr>
            <w:tcW w:w="1083"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6932" w:type="dxa"/>
            <w:gridSpan w:val="6"/>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383"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2617" w:type="dxa"/>
            <w:gridSpan w:val="3"/>
            <w:vMerge w:val="restart"/>
            <w:tcBorders>
              <w:top w:val="single" w:color="auto" w:sz="4" w:space="0"/>
              <w:left w:val="single" w:color="auto" w:sz="4" w:space="0"/>
              <w:right w:val="single" w:color="auto" w:sz="4" w:space="0"/>
            </w:tcBorders>
            <w:noWrap w:val="0"/>
            <w:vAlign w:val="center"/>
          </w:tcPr>
          <w:p>
            <w:pPr>
              <w:spacing w:line="280" w:lineRule="exact"/>
              <w:ind w:left="-67" w:leftChars="-32" w:right="-69" w:rightChars="-33"/>
              <w:jc w:val="center"/>
              <w:rPr>
                <w:szCs w:val="21"/>
              </w:rPr>
            </w:pPr>
            <w:r>
              <w:rPr>
                <w:spacing w:val="-20"/>
                <w:szCs w:val="21"/>
              </w:rPr>
              <w:t>现任专业技术职称</w:t>
            </w:r>
          </w:p>
        </w:tc>
        <w:tc>
          <w:tcPr>
            <w:tcW w:w="1607" w:type="dxa"/>
            <w:gridSpan w:val="3"/>
            <w:vMerge w:val="restart"/>
            <w:tcBorders>
              <w:top w:val="single" w:color="auto" w:sz="4" w:space="0"/>
              <w:left w:val="single" w:color="auto" w:sz="4" w:space="0"/>
              <w:right w:val="single" w:color="auto" w:sz="4" w:space="0"/>
            </w:tcBorders>
            <w:noWrap w:val="0"/>
            <w:vAlign w:val="center"/>
          </w:tcPr>
          <w:p>
            <w:pPr>
              <w:ind w:left="-13" w:leftChars="-51" w:right="-107" w:rightChars="-51" w:hanging="94" w:hangingChars="45"/>
              <w:jc w:val="center"/>
              <w:rPr>
                <w:rFonts w:hint="eastAsia" w:eastAsia="宋体"/>
                <w:szCs w:val="21"/>
                <w:lang w:val="en-US" w:eastAsia="zh-CN"/>
              </w:rPr>
            </w:pPr>
            <w:r>
              <w:rPr>
                <w:rFonts w:hint="eastAsia"/>
                <w:szCs w:val="21"/>
                <w:lang w:val="en-US" w:eastAsia="zh-CN"/>
              </w:rPr>
              <w:t>讲师</w:t>
            </w:r>
          </w:p>
        </w:tc>
        <w:tc>
          <w:tcPr>
            <w:tcW w:w="1103" w:type="dxa"/>
            <w:vMerge w:val="restart"/>
            <w:tcBorders>
              <w:top w:val="single" w:color="auto" w:sz="4" w:space="0"/>
              <w:left w:val="single" w:color="auto" w:sz="4" w:space="0"/>
              <w:right w:val="single" w:color="auto" w:sz="4" w:space="0"/>
            </w:tcBorders>
            <w:noWrap w:val="0"/>
            <w:vAlign w:val="center"/>
          </w:tcPr>
          <w:p>
            <w:pPr>
              <w:ind w:left="-71" w:leftChars="-34" w:right="-61" w:rightChars="-29"/>
              <w:jc w:val="center"/>
              <w:rPr>
                <w:szCs w:val="21"/>
              </w:rPr>
            </w:pPr>
            <w:r>
              <w:rPr>
                <w:szCs w:val="21"/>
              </w:rPr>
              <w:t>获得时间</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63" w:leftChars="-30" w:right="-73" w:rightChars="-35"/>
              <w:jc w:val="center"/>
              <w:rPr>
                <w:rFonts w:hint="default" w:eastAsia="宋体"/>
                <w:szCs w:val="21"/>
                <w:lang w:val="en-US" w:eastAsia="zh-CN"/>
              </w:rPr>
            </w:pPr>
            <w:r>
              <w:rPr>
                <w:rFonts w:hint="eastAsia"/>
                <w:szCs w:val="21"/>
                <w:lang w:val="en-US" w:eastAsia="zh-CN"/>
              </w:rPr>
              <w:t>2012.9</w:t>
            </w: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6932" w:type="dxa"/>
            <w:gridSpan w:val="6"/>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383"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0" w:hRule="atLeast"/>
          <w:jc w:val="center"/>
        </w:trPr>
        <w:tc>
          <w:tcPr>
            <w:tcW w:w="2617" w:type="dxa"/>
            <w:gridSpan w:val="3"/>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607" w:type="dxa"/>
            <w:gridSpan w:val="3"/>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103" w:type="dxa"/>
            <w:vMerge w:val="continue"/>
            <w:tcBorders>
              <w:left w:val="single" w:color="auto" w:sz="4" w:space="0"/>
              <w:bottom w:val="single" w:color="auto" w:sz="4" w:space="0"/>
              <w:right w:val="single" w:color="auto" w:sz="4" w:space="0"/>
            </w:tcBorders>
            <w:noWrap w:val="0"/>
            <w:vAlign w:val="center"/>
          </w:tcPr>
          <w:p>
            <w:pPr>
              <w:ind w:left="-13" w:leftChars="-51" w:right="-107" w:rightChars="-51" w:hanging="94" w:hangingChars="45"/>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right w:val="single" w:color="auto" w:sz="4" w:space="0"/>
            </w:tcBorders>
            <w:noWrap w:val="0"/>
            <w:vAlign w:val="bottom"/>
          </w:tcPr>
          <w:p>
            <w:pPr>
              <w:spacing w:line="280" w:lineRule="exact"/>
              <w:ind w:left="180"/>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414" w:type="dxa"/>
            <w:vMerge w:val="restart"/>
            <w:tcBorders>
              <w:left w:val="single" w:color="auto" w:sz="4" w:space="0"/>
              <w:right w:val="single" w:color="auto" w:sz="4" w:space="0"/>
            </w:tcBorders>
            <w:noWrap w:val="0"/>
            <w:vAlign w:val="center"/>
          </w:tcPr>
          <w:p>
            <w:pPr>
              <w:spacing w:line="280" w:lineRule="exact"/>
              <w:ind w:left="180"/>
              <w:jc w:val="left"/>
              <w:rPr>
                <w:rFonts w:hint="eastAsia"/>
                <w:szCs w:val="21"/>
                <w:lang w:val="en-US" w:eastAsia="zh-CN"/>
              </w:rPr>
            </w:pPr>
            <w:r>
              <w:rPr>
                <w:rFonts w:hint="eastAsia"/>
                <w:szCs w:val="21"/>
                <w:lang w:val="en-US" w:eastAsia="zh-CN"/>
              </w:rPr>
              <w:t>2015-2016学年</w:t>
            </w:r>
          </w:p>
          <w:p>
            <w:pPr>
              <w:spacing w:line="280" w:lineRule="exact"/>
              <w:ind w:left="180"/>
              <w:jc w:val="left"/>
              <w:rPr>
                <w:rFonts w:hint="eastAsia"/>
                <w:szCs w:val="21"/>
                <w:lang w:val="en-US" w:eastAsia="zh-CN"/>
              </w:rPr>
            </w:pPr>
            <w:r>
              <w:rPr>
                <w:rFonts w:hint="eastAsia"/>
                <w:szCs w:val="21"/>
                <w:lang w:val="en-US" w:eastAsia="zh-CN"/>
              </w:rPr>
              <w:t>2016-2017学年</w:t>
            </w:r>
          </w:p>
          <w:p>
            <w:pPr>
              <w:spacing w:line="280" w:lineRule="exact"/>
              <w:ind w:left="180"/>
              <w:jc w:val="left"/>
              <w:rPr>
                <w:rFonts w:hint="eastAsia"/>
                <w:szCs w:val="21"/>
                <w:lang w:val="en-US" w:eastAsia="zh-CN"/>
              </w:rPr>
            </w:pPr>
            <w:r>
              <w:rPr>
                <w:rFonts w:hint="eastAsia"/>
                <w:szCs w:val="21"/>
                <w:lang w:val="en-US" w:eastAsia="zh-CN"/>
              </w:rPr>
              <w:t>2017-2018学年</w:t>
            </w:r>
          </w:p>
          <w:p>
            <w:pPr>
              <w:spacing w:line="280" w:lineRule="exact"/>
              <w:ind w:left="180"/>
              <w:jc w:val="left"/>
              <w:rPr>
                <w:rFonts w:hint="eastAsia"/>
                <w:szCs w:val="21"/>
                <w:lang w:val="en-US" w:eastAsia="zh-CN"/>
              </w:rPr>
            </w:pPr>
            <w:r>
              <w:rPr>
                <w:rFonts w:hint="eastAsia"/>
                <w:szCs w:val="21"/>
                <w:lang w:val="en-US" w:eastAsia="zh-CN"/>
              </w:rPr>
              <w:t>2018-2019学年</w:t>
            </w:r>
          </w:p>
          <w:p>
            <w:pPr>
              <w:spacing w:line="280" w:lineRule="exact"/>
              <w:ind w:left="180"/>
              <w:jc w:val="left"/>
              <w:rPr>
                <w:rFonts w:hint="eastAsia"/>
                <w:szCs w:val="21"/>
                <w:lang w:val="en-US" w:eastAsia="zh-CN"/>
              </w:rPr>
            </w:pPr>
            <w:r>
              <w:rPr>
                <w:rFonts w:hint="eastAsia"/>
                <w:szCs w:val="21"/>
                <w:lang w:val="en-US" w:eastAsia="zh-CN"/>
              </w:rPr>
              <w:t>2019-2020学年</w:t>
            </w:r>
          </w:p>
          <w:p>
            <w:pPr>
              <w:spacing w:line="280" w:lineRule="exact"/>
              <w:ind w:left="180"/>
              <w:jc w:val="left"/>
              <w:rPr>
                <w:rFonts w:hint="eastAsia"/>
                <w:szCs w:val="21"/>
                <w:lang w:val="en-US" w:eastAsia="zh-CN"/>
              </w:rPr>
            </w:pPr>
          </w:p>
          <w:p>
            <w:pPr>
              <w:spacing w:line="280" w:lineRule="exact"/>
              <w:ind w:left="180"/>
              <w:jc w:val="left"/>
              <w:rPr>
                <w:rFonts w:hint="eastAsia"/>
                <w:szCs w:val="21"/>
                <w:lang w:val="en-US" w:eastAsia="zh-CN"/>
              </w:rPr>
            </w:pPr>
          </w:p>
          <w:p>
            <w:pPr>
              <w:spacing w:line="280" w:lineRule="exact"/>
              <w:ind w:left="180"/>
              <w:jc w:val="left"/>
              <w:rPr>
                <w:rFonts w:hint="eastAsia"/>
                <w:szCs w:val="21"/>
                <w:lang w:val="en-US" w:eastAsia="zh-CN"/>
              </w:rPr>
            </w:pPr>
          </w:p>
          <w:p>
            <w:pPr>
              <w:spacing w:line="280" w:lineRule="exact"/>
              <w:ind w:left="180"/>
              <w:jc w:val="left"/>
              <w:rPr>
                <w:rFonts w:hint="default"/>
                <w:szCs w:val="21"/>
                <w:lang w:val="en-US" w:eastAsia="zh-CN"/>
              </w:rPr>
            </w:pPr>
          </w:p>
        </w:tc>
        <w:tc>
          <w:tcPr>
            <w:tcW w:w="786" w:type="dxa"/>
            <w:vMerge w:val="restart"/>
            <w:tcBorders>
              <w:left w:val="single" w:color="auto" w:sz="4" w:space="0"/>
              <w:right w:val="single" w:color="auto" w:sz="4" w:space="0"/>
            </w:tcBorders>
            <w:noWrap w:val="0"/>
            <w:vAlign w:val="center"/>
          </w:tcPr>
          <w:p>
            <w:pPr>
              <w:spacing w:line="280" w:lineRule="exact"/>
              <w:ind w:left="180"/>
              <w:jc w:val="center"/>
              <w:rPr>
                <w:rFonts w:hint="eastAsia"/>
                <w:szCs w:val="21"/>
                <w:lang w:val="en-US" w:eastAsia="zh-CN"/>
              </w:rPr>
            </w:pPr>
            <w:r>
              <w:rPr>
                <w:rFonts w:hint="eastAsia"/>
                <w:szCs w:val="21"/>
                <w:lang w:val="en-US" w:eastAsia="zh-CN"/>
              </w:rPr>
              <w:t>411</w:t>
            </w:r>
          </w:p>
          <w:p>
            <w:pPr>
              <w:spacing w:line="280" w:lineRule="exact"/>
              <w:ind w:left="180"/>
              <w:jc w:val="center"/>
              <w:rPr>
                <w:rFonts w:hint="eastAsia"/>
                <w:szCs w:val="21"/>
                <w:lang w:val="en-US" w:eastAsia="zh-CN"/>
              </w:rPr>
            </w:pPr>
            <w:r>
              <w:rPr>
                <w:rFonts w:hint="eastAsia"/>
                <w:szCs w:val="21"/>
                <w:lang w:val="en-US" w:eastAsia="zh-CN"/>
              </w:rPr>
              <w:t>378</w:t>
            </w:r>
          </w:p>
          <w:p>
            <w:pPr>
              <w:spacing w:line="280" w:lineRule="exact"/>
              <w:ind w:left="180"/>
              <w:jc w:val="center"/>
              <w:rPr>
                <w:rFonts w:hint="eastAsia"/>
                <w:szCs w:val="21"/>
                <w:lang w:val="en-US" w:eastAsia="zh-CN"/>
              </w:rPr>
            </w:pPr>
            <w:r>
              <w:rPr>
                <w:rFonts w:hint="eastAsia"/>
                <w:szCs w:val="21"/>
                <w:lang w:val="en-US" w:eastAsia="zh-CN"/>
              </w:rPr>
              <w:t>370</w:t>
            </w:r>
          </w:p>
          <w:p>
            <w:pPr>
              <w:spacing w:line="280" w:lineRule="exact"/>
              <w:ind w:left="180"/>
              <w:jc w:val="center"/>
              <w:rPr>
                <w:rFonts w:hint="eastAsia"/>
                <w:szCs w:val="21"/>
                <w:lang w:val="en-US" w:eastAsia="zh-CN"/>
              </w:rPr>
            </w:pPr>
            <w:r>
              <w:rPr>
                <w:rFonts w:hint="eastAsia"/>
                <w:szCs w:val="21"/>
                <w:lang w:val="en-US" w:eastAsia="zh-CN"/>
              </w:rPr>
              <w:t>176</w:t>
            </w:r>
          </w:p>
          <w:p>
            <w:pPr>
              <w:spacing w:line="280" w:lineRule="exact"/>
              <w:ind w:left="180"/>
              <w:jc w:val="center"/>
              <w:rPr>
                <w:rFonts w:hint="eastAsia"/>
                <w:szCs w:val="21"/>
                <w:lang w:val="en-US" w:eastAsia="zh-CN"/>
              </w:rPr>
            </w:pPr>
            <w:r>
              <w:rPr>
                <w:rFonts w:hint="eastAsia"/>
                <w:szCs w:val="21"/>
                <w:lang w:val="en-US" w:eastAsia="zh-CN"/>
              </w:rPr>
              <w:t>383</w:t>
            </w:r>
          </w:p>
          <w:p>
            <w:pPr>
              <w:spacing w:line="280" w:lineRule="exact"/>
              <w:ind w:left="180"/>
              <w:jc w:val="center"/>
              <w:rPr>
                <w:rFonts w:hint="eastAsia"/>
                <w:szCs w:val="21"/>
                <w:lang w:val="en-US" w:eastAsia="zh-CN"/>
              </w:rPr>
            </w:pPr>
          </w:p>
          <w:p>
            <w:pPr>
              <w:spacing w:line="280" w:lineRule="exact"/>
              <w:ind w:left="180"/>
              <w:jc w:val="center"/>
              <w:rPr>
                <w:rFonts w:hint="default"/>
                <w:szCs w:val="21"/>
                <w:lang w:val="en-US" w:eastAsia="zh-CN"/>
              </w:rPr>
            </w:pPr>
          </w:p>
          <w:p>
            <w:pPr>
              <w:spacing w:line="280" w:lineRule="exact"/>
              <w:ind w:left="180"/>
              <w:jc w:val="center"/>
              <w:rPr>
                <w:rFonts w:hint="default"/>
                <w:szCs w:val="21"/>
                <w:lang w:val="en-US" w:eastAsia="zh-CN"/>
              </w:rPr>
            </w:pPr>
          </w:p>
          <w:p>
            <w:pPr>
              <w:spacing w:line="280" w:lineRule="exact"/>
              <w:ind w:left="180"/>
              <w:jc w:val="center"/>
              <w:rPr>
                <w:rFonts w:hint="default"/>
                <w:szCs w:val="21"/>
                <w:lang w:val="en-US" w:eastAsia="zh-CN"/>
              </w:rPr>
            </w:pPr>
          </w:p>
        </w:tc>
        <w:tc>
          <w:tcPr>
            <w:tcW w:w="885" w:type="dxa"/>
            <w:vMerge w:val="restart"/>
            <w:tcBorders>
              <w:left w:val="single" w:color="auto" w:sz="4" w:space="0"/>
              <w:right w:val="single" w:color="auto" w:sz="4" w:space="0"/>
            </w:tcBorders>
            <w:noWrap w:val="0"/>
            <w:vAlign w:val="center"/>
          </w:tcPr>
          <w:p>
            <w:pPr>
              <w:spacing w:line="280" w:lineRule="exact"/>
              <w:ind w:left="180"/>
              <w:jc w:val="center"/>
              <w:rPr>
                <w:rFonts w:hint="eastAsia"/>
                <w:szCs w:val="21"/>
                <w:lang w:val="en-US" w:eastAsia="zh-CN"/>
              </w:rPr>
            </w:pPr>
            <w:r>
              <w:rPr>
                <w:rFonts w:hint="eastAsia"/>
                <w:szCs w:val="21"/>
                <w:lang w:val="en-US" w:eastAsia="zh-CN"/>
              </w:rPr>
              <w:t>153</w:t>
            </w:r>
          </w:p>
          <w:p>
            <w:pPr>
              <w:spacing w:line="280" w:lineRule="exact"/>
              <w:ind w:left="180"/>
              <w:jc w:val="center"/>
              <w:rPr>
                <w:rFonts w:hint="eastAsia"/>
                <w:szCs w:val="21"/>
                <w:lang w:val="en-US" w:eastAsia="zh-CN"/>
              </w:rPr>
            </w:pPr>
            <w:r>
              <w:rPr>
                <w:rFonts w:hint="eastAsia"/>
                <w:szCs w:val="21"/>
                <w:lang w:val="en-US" w:eastAsia="zh-CN"/>
              </w:rPr>
              <w:t>149</w:t>
            </w:r>
          </w:p>
          <w:p>
            <w:pPr>
              <w:spacing w:line="280" w:lineRule="exact"/>
              <w:ind w:left="180"/>
              <w:jc w:val="center"/>
              <w:rPr>
                <w:rFonts w:hint="eastAsia"/>
                <w:szCs w:val="21"/>
                <w:lang w:val="en-US" w:eastAsia="zh-CN"/>
              </w:rPr>
            </w:pPr>
            <w:r>
              <w:rPr>
                <w:rFonts w:hint="eastAsia"/>
                <w:szCs w:val="21"/>
                <w:lang w:val="en-US" w:eastAsia="zh-CN"/>
              </w:rPr>
              <w:t>177</w:t>
            </w:r>
          </w:p>
          <w:p>
            <w:pPr>
              <w:spacing w:line="280" w:lineRule="exact"/>
              <w:ind w:left="180"/>
              <w:jc w:val="center"/>
              <w:rPr>
                <w:rFonts w:hint="eastAsia"/>
                <w:szCs w:val="21"/>
                <w:lang w:val="en-US" w:eastAsia="zh-CN"/>
              </w:rPr>
            </w:pPr>
            <w:r>
              <w:rPr>
                <w:rFonts w:hint="eastAsia"/>
                <w:szCs w:val="21"/>
                <w:lang w:val="en-US" w:eastAsia="zh-CN"/>
              </w:rPr>
              <w:t>335</w:t>
            </w:r>
          </w:p>
          <w:p>
            <w:pPr>
              <w:spacing w:line="280" w:lineRule="exact"/>
              <w:ind w:left="180"/>
              <w:jc w:val="center"/>
              <w:rPr>
                <w:rFonts w:hint="eastAsia"/>
                <w:szCs w:val="21"/>
                <w:lang w:val="en-US" w:eastAsia="zh-CN"/>
              </w:rPr>
            </w:pPr>
            <w:r>
              <w:rPr>
                <w:rFonts w:hint="eastAsia"/>
                <w:szCs w:val="21"/>
                <w:lang w:val="en-US" w:eastAsia="zh-CN"/>
              </w:rPr>
              <w:t>111</w:t>
            </w:r>
          </w:p>
          <w:p>
            <w:pPr>
              <w:spacing w:line="280" w:lineRule="exact"/>
              <w:ind w:left="180"/>
              <w:jc w:val="center"/>
              <w:rPr>
                <w:rFonts w:hint="eastAsia"/>
                <w:szCs w:val="21"/>
                <w:lang w:val="en-US" w:eastAsia="zh-CN"/>
              </w:rPr>
            </w:pPr>
          </w:p>
          <w:p>
            <w:pPr>
              <w:spacing w:line="280" w:lineRule="exact"/>
              <w:ind w:left="180"/>
              <w:jc w:val="center"/>
              <w:rPr>
                <w:rFonts w:hint="default"/>
                <w:szCs w:val="21"/>
                <w:lang w:val="en-US" w:eastAsia="zh-CN"/>
              </w:rPr>
            </w:pPr>
          </w:p>
          <w:p>
            <w:pPr>
              <w:spacing w:line="280" w:lineRule="exact"/>
              <w:ind w:left="180"/>
              <w:jc w:val="center"/>
              <w:rPr>
                <w:rFonts w:hint="default"/>
                <w:szCs w:val="21"/>
                <w:lang w:val="en-US" w:eastAsia="zh-CN"/>
              </w:rPr>
            </w:pPr>
          </w:p>
          <w:p>
            <w:pPr>
              <w:spacing w:line="280" w:lineRule="exact"/>
              <w:ind w:left="180"/>
              <w:jc w:val="center"/>
              <w:rPr>
                <w:rFonts w:hint="default"/>
                <w:szCs w:val="21"/>
                <w:lang w:val="en-US" w:eastAsia="zh-CN"/>
              </w:rPr>
            </w:pPr>
          </w:p>
        </w:tc>
        <w:tc>
          <w:tcPr>
            <w:tcW w:w="1083" w:type="dxa"/>
            <w:vMerge w:val="restart"/>
            <w:tcBorders>
              <w:left w:val="single" w:color="auto" w:sz="4" w:space="0"/>
              <w:right w:val="single" w:color="auto" w:sz="4" w:space="0"/>
            </w:tcBorders>
            <w:noWrap w:val="0"/>
            <w:vAlign w:val="center"/>
          </w:tcPr>
          <w:p>
            <w:pPr>
              <w:spacing w:line="280" w:lineRule="exact"/>
              <w:ind w:left="180"/>
              <w:jc w:val="center"/>
              <w:rPr>
                <w:rFonts w:hint="eastAsia"/>
                <w:szCs w:val="21"/>
                <w:lang w:val="en-US" w:eastAsia="zh-CN"/>
              </w:rPr>
            </w:pPr>
            <w:r>
              <w:rPr>
                <w:rFonts w:hint="eastAsia"/>
                <w:szCs w:val="21"/>
                <w:lang w:val="en-US" w:eastAsia="zh-CN"/>
              </w:rPr>
              <w:t>41</w:t>
            </w:r>
          </w:p>
          <w:p>
            <w:pPr>
              <w:spacing w:line="280" w:lineRule="exact"/>
              <w:ind w:left="180"/>
              <w:jc w:val="center"/>
              <w:rPr>
                <w:rFonts w:hint="eastAsia"/>
                <w:szCs w:val="21"/>
                <w:lang w:val="en-US" w:eastAsia="zh-CN"/>
              </w:rPr>
            </w:pPr>
            <w:r>
              <w:rPr>
                <w:rFonts w:hint="eastAsia"/>
                <w:szCs w:val="21"/>
                <w:lang w:val="en-US" w:eastAsia="zh-CN"/>
              </w:rPr>
              <w:t>39</w:t>
            </w:r>
          </w:p>
          <w:p>
            <w:pPr>
              <w:spacing w:line="280" w:lineRule="exact"/>
              <w:ind w:left="180"/>
              <w:jc w:val="center"/>
              <w:rPr>
                <w:rFonts w:hint="eastAsia"/>
                <w:szCs w:val="21"/>
                <w:lang w:val="en-US" w:eastAsia="zh-CN"/>
              </w:rPr>
            </w:pPr>
            <w:r>
              <w:rPr>
                <w:rFonts w:hint="eastAsia"/>
                <w:szCs w:val="21"/>
                <w:lang w:val="en-US" w:eastAsia="zh-CN"/>
              </w:rPr>
              <w:t>65</w:t>
            </w:r>
          </w:p>
          <w:p>
            <w:pPr>
              <w:spacing w:line="280" w:lineRule="exact"/>
              <w:ind w:left="180"/>
              <w:jc w:val="center"/>
              <w:rPr>
                <w:rFonts w:hint="eastAsia"/>
                <w:szCs w:val="21"/>
                <w:lang w:val="en-US" w:eastAsia="zh-CN"/>
              </w:rPr>
            </w:pPr>
            <w:r>
              <w:rPr>
                <w:rFonts w:hint="eastAsia"/>
                <w:szCs w:val="21"/>
                <w:lang w:val="en-US" w:eastAsia="zh-CN"/>
              </w:rPr>
              <w:t>34</w:t>
            </w:r>
          </w:p>
          <w:p>
            <w:pPr>
              <w:spacing w:line="280" w:lineRule="exact"/>
              <w:ind w:left="180"/>
              <w:jc w:val="center"/>
              <w:rPr>
                <w:rFonts w:hint="eastAsia"/>
                <w:szCs w:val="21"/>
                <w:lang w:val="en-US" w:eastAsia="zh-CN"/>
              </w:rPr>
            </w:pPr>
            <w:r>
              <w:rPr>
                <w:rFonts w:hint="eastAsia"/>
                <w:szCs w:val="21"/>
                <w:lang w:val="en-US" w:eastAsia="zh-CN"/>
              </w:rPr>
              <w:t>24</w:t>
            </w:r>
          </w:p>
          <w:p>
            <w:pPr>
              <w:spacing w:line="280" w:lineRule="exact"/>
              <w:ind w:left="180"/>
              <w:jc w:val="center"/>
              <w:rPr>
                <w:rFonts w:hint="eastAsia"/>
                <w:szCs w:val="21"/>
                <w:lang w:val="en-US" w:eastAsia="zh-CN"/>
              </w:rPr>
            </w:pPr>
          </w:p>
          <w:p>
            <w:pPr>
              <w:spacing w:line="280" w:lineRule="exact"/>
              <w:ind w:left="180"/>
              <w:jc w:val="center"/>
              <w:rPr>
                <w:rFonts w:hint="default"/>
                <w:szCs w:val="21"/>
                <w:lang w:val="en-US" w:eastAsia="zh-CN"/>
              </w:rPr>
            </w:pPr>
          </w:p>
          <w:p>
            <w:pPr>
              <w:spacing w:line="280" w:lineRule="exact"/>
              <w:ind w:left="180"/>
              <w:jc w:val="center"/>
              <w:rPr>
                <w:rFonts w:hint="eastAsia"/>
                <w:szCs w:val="21"/>
                <w:lang w:val="en-US" w:eastAsia="zh-CN"/>
              </w:rPr>
            </w:pPr>
          </w:p>
          <w:p>
            <w:pPr>
              <w:spacing w:line="280" w:lineRule="exact"/>
              <w:ind w:left="180"/>
              <w:jc w:val="center"/>
              <w:rPr>
                <w:rFonts w:hint="default"/>
                <w:szCs w:val="21"/>
                <w:lang w:val="en-US" w:eastAsia="zh-CN"/>
              </w:rPr>
            </w:pPr>
          </w:p>
        </w:tc>
        <w:tc>
          <w:tcPr>
            <w:tcW w:w="6932" w:type="dxa"/>
            <w:gridSpan w:val="6"/>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383"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1335" w:type="dxa"/>
            <w:tcBorders>
              <w:left w:val="single" w:color="auto" w:sz="4" w:space="0"/>
              <w:bottom w:val="single" w:color="auto" w:sz="4" w:space="0"/>
              <w:right w:val="single" w:color="auto" w:sz="4" w:space="0"/>
            </w:tcBorders>
            <w:noWrap w:val="0"/>
            <w:vAlign w:val="center"/>
          </w:tcPr>
          <w:p>
            <w:pPr>
              <w:spacing w:line="280" w:lineRule="exact"/>
              <w:jc w:val="distribute"/>
              <w:rPr>
                <w:szCs w:val="21"/>
              </w:rPr>
            </w:pPr>
            <w:r>
              <w:rPr>
                <w:szCs w:val="21"/>
              </w:rPr>
              <w:t>外语成绩</w:t>
            </w:r>
          </w:p>
        </w:tc>
        <w:tc>
          <w:tcPr>
            <w:tcW w:w="1282" w:type="dxa"/>
            <w:gridSpan w:val="2"/>
            <w:tcBorders>
              <w:left w:val="single" w:color="auto" w:sz="4" w:space="0"/>
              <w:bottom w:val="single" w:color="auto" w:sz="4" w:space="0"/>
              <w:right w:val="single" w:color="auto" w:sz="4" w:space="0"/>
            </w:tcBorders>
            <w:noWrap w:val="0"/>
            <w:vAlign w:val="center"/>
          </w:tcPr>
          <w:p>
            <w:pPr>
              <w:spacing w:line="280" w:lineRule="exact"/>
              <w:jc w:val="center"/>
              <w:rPr>
                <w:rFonts w:hint="default" w:eastAsia="宋体"/>
                <w:szCs w:val="21"/>
                <w:lang w:val="en-US" w:eastAsia="zh-CN"/>
              </w:rPr>
            </w:pPr>
            <w:r>
              <w:rPr>
                <w:rFonts w:hint="eastAsia"/>
                <w:szCs w:val="21"/>
                <w:lang w:val="en-US" w:eastAsia="zh-CN"/>
              </w:rPr>
              <w:t>73</w:t>
            </w:r>
          </w:p>
        </w:tc>
        <w:tc>
          <w:tcPr>
            <w:tcW w:w="2710" w:type="dxa"/>
            <w:gridSpan w:val="4"/>
            <w:tcBorders>
              <w:left w:val="single" w:color="auto" w:sz="4" w:space="0"/>
              <w:bottom w:val="single" w:color="auto" w:sz="4" w:space="0"/>
              <w:right w:val="single" w:color="auto" w:sz="4" w:space="0"/>
            </w:tcBorders>
            <w:noWrap w:val="0"/>
            <w:vAlign w:val="center"/>
          </w:tcPr>
          <w:p>
            <w:pPr>
              <w:jc w:val="center"/>
              <w:rPr>
                <w:szCs w:val="21"/>
              </w:rPr>
            </w:pPr>
            <w:r>
              <w:rPr>
                <w:spacing w:val="-20"/>
                <w:szCs w:val="21"/>
              </w:rPr>
              <w:t>计算机成绩</w:t>
            </w:r>
          </w:p>
        </w:tc>
        <w:tc>
          <w:tcPr>
            <w:tcW w:w="1449" w:type="dxa"/>
            <w:gridSpan w:val="2"/>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合格</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14"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414"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786"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885"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083" w:type="dxa"/>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6932" w:type="dxa"/>
            <w:gridSpan w:val="6"/>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383"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restart"/>
            <w:tcBorders>
              <w:left w:val="single" w:color="auto" w:sz="4" w:space="0"/>
              <w:right w:val="single" w:color="auto" w:sz="4" w:space="0"/>
            </w:tcBorders>
            <w:noWrap w:val="0"/>
            <w:vAlign w:val="center"/>
          </w:tcPr>
          <w:p>
            <w:pPr>
              <w:spacing w:line="280" w:lineRule="exact"/>
              <w:jc w:val="distribute"/>
              <w:rPr>
                <w:szCs w:val="21"/>
              </w:rPr>
            </w:pPr>
            <w:r>
              <w:rPr>
                <w:szCs w:val="21"/>
              </w:rPr>
              <w:t>最高学历</w:t>
            </w:r>
          </w:p>
        </w:tc>
        <w:tc>
          <w:tcPr>
            <w:tcW w:w="1282" w:type="dxa"/>
            <w:gridSpan w:val="2"/>
            <w:vMerge w:val="restart"/>
            <w:tcBorders>
              <w:left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研究生</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最高学位</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硕士</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6932" w:type="dxa"/>
            <w:gridSpan w:val="6"/>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383"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ind w:left="-63" w:leftChars="-30" w:right="-73" w:rightChars="-35"/>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ind w:left="180"/>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315" w:type="dxa"/>
            <w:gridSpan w:val="8"/>
            <w:vMerge w:val="restart"/>
            <w:tcBorders>
              <w:left w:val="single" w:color="auto" w:sz="4" w:space="0"/>
              <w:bottom w:val="single" w:color="auto" w:sz="4" w:space="0"/>
              <w:right w:val="single" w:color="auto" w:sz="4" w:space="0"/>
            </w:tcBorders>
            <w:noWrap w:val="0"/>
            <w:vAlign w:val="center"/>
          </w:tcPr>
          <w:p>
            <w:pPr>
              <w:spacing w:line="280" w:lineRule="exact"/>
              <w:ind w:left="180"/>
              <w:jc w:val="center"/>
              <w:rPr>
                <w:szCs w:val="21"/>
              </w:rPr>
            </w:pPr>
            <w:r>
              <w:rPr>
                <w:szCs w:val="21"/>
              </w:rPr>
              <w:t>任教课程</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2" w:hRule="atLeast"/>
          <w:jc w:val="center"/>
        </w:trPr>
        <w:tc>
          <w:tcPr>
            <w:tcW w:w="1335" w:type="dxa"/>
            <w:vMerge w:val="restart"/>
            <w:tcBorders>
              <w:left w:val="single" w:color="auto" w:sz="4" w:space="0"/>
              <w:right w:val="single" w:color="auto" w:sz="4" w:space="0"/>
            </w:tcBorders>
            <w:noWrap w:val="0"/>
            <w:vAlign w:val="center"/>
          </w:tcPr>
          <w:p>
            <w:pPr>
              <w:spacing w:line="280" w:lineRule="exact"/>
              <w:ind w:left="-57" w:leftChars="-27" w:right="-53" w:rightChars="-25"/>
              <w:jc w:val="center"/>
              <w:rPr>
                <w:szCs w:val="21"/>
              </w:rPr>
            </w:pPr>
            <w:r>
              <w:rPr>
                <w:szCs w:val="21"/>
              </w:rPr>
              <w:t>现从事专业</w:t>
            </w:r>
          </w:p>
        </w:tc>
        <w:tc>
          <w:tcPr>
            <w:tcW w:w="1282" w:type="dxa"/>
            <w:gridSpan w:val="2"/>
            <w:vMerge w:val="restart"/>
            <w:tcBorders>
              <w:left w:val="single" w:color="auto" w:sz="4" w:space="0"/>
              <w:right w:val="single" w:color="auto" w:sz="4" w:space="0"/>
            </w:tcBorders>
            <w:noWrap w:val="0"/>
            <w:vAlign w:val="center"/>
          </w:tcPr>
          <w:p>
            <w:pPr>
              <w:widowControl/>
              <w:jc w:val="center"/>
              <w:rPr>
                <w:rFonts w:hint="eastAsia" w:eastAsia="宋体"/>
                <w:szCs w:val="21"/>
                <w:lang w:val="en-US" w:eastAsia="zh-CN"/>
              </w:rPr>
            </w:pPr>
            <w:r>
              <w:rPr>
                <w:rFonts w:hint="eastAsia"/>
                <w:szCs w:val="21"/>
                <w:lang w:val="en-US" w:eastAsia="zh-CN"/>
              </w:rPr>
              <w:t>管理学</w:t>
            </w:r>
          </w:p>
        </w:tc>
        <w:tc>
          <w:tcPr>
            <w:tcW w:w="2710" w:type="dxa"/>
            <w:gridSpan w:val="4"/>
            <w:vMerge w:val="restart"/>
            <w:tcBorders>
              <w:left w:val="single" w:color="auto" w:sz="4" w:space="0"/>
              <w:right w:val="single" w:color="auto" w:sz="4" w:space="0"/>
            </w:tcBorders>
            <w:noWrap w:val="0"/>
            <w:vAlign w:val="center"/>
          </w:tcPr>
          <w:p>
            <w:pPr>
              <w:jc w:val="center"/>
              <w:rPr>
                <w:szCs w:val="21"/>
              </w:rPr>
            </w:pPr>
            <w:r>
              <w:rPr>
                <w:szCs w:val="21"/>
              </w:rPr>
              <w:t>是否破格</w:t>
            </w:r>
          </w:p>
        </w:tc>
        <w:tc>
          <w:tcPr>
            <w:tcW w:w="1449" w:type="dxa"/>
            <w:gridSpan w:val="2"/>
            <w:vMerge w:val="restart"/>
            <w:tcBorders>
              <w:left w:val="single" w:color="auto" w:sz="4" w:space="0"/>
              <w:right w:val="single" w:color="auto" w:sz="4" w:space="0"/>
            </w:tcBorders>
            <w:noWrap w:val="0"/>
            <w:vAlign w:val="center"/>
          </w:tcPr>
          <w:p>
            <w:pPr>
              <w:spacing w:line="280" w:lineRule="exact"/>
              <w:ind w:left="-63" w:leftChars="-30" w:right="-73" w:rightChars="-35"/>
              <w:jc w:val="center"/>
              <w:rPr>
                <w:rFonts w:hint="eastAsia" w:eastAsia="宋体"/>
                <w:szCs w:val="21"/>
                <w:lang w:val="en-US" w:eastAsia="zh-CN"/>
              </w:rPr>
            </w:pPr>
            <w:r>
              <w:rPr>
                <w:rFonts w:hint="eastAsia"/>
                <w:szCs w:val="21"/>
                <w:lang w:val="en-US" w:eastAsia="zh-CN"/>
              </w:rPr>
              <w:t>否</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315" w:type="dxa"/>
            <w:gridSpan w:val="8"/>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 w:hRule="atLeast"/>
          <w:jc w:val="center"/>
        </w:trPr>
        <w:tc>
          <w:tcPr>
            <w:tcW w:w="1335"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82" w:type="dxa"/>
            <w:gridSpan w:val="2"/>
            <w:vMerge w:val="continue"/>
            <w:tcBorders>
              <w:left w:val="single" w:color="auto" w:sz="4" w:space="0"/>
              <w:bottom w:val="single" w:color="auto" w:sz="4" w:space="0"/>
              <w:right w:val="single" w:color="auto" w:sz="4" w:space="0"/>
            </w:tcBorders>
            <w:noWrap w:val="0"/>
            <w:vAlign w:val="center"/>
          </w:tcPr>
          <w:p>
            <w:pPr>
              <w:widowControl/>
              <w:jc w:val="center"/>
              <w:rPr>
                <w:szCs w:val="21"/>
              </w:rPr>
            </w:pPr>
          </w:p>
        </w:tc>
        <w:tc>
          <w:tcPr>
            <w:tcW w:w="2710" w:type="dxa"/>
            <w:gridSpan w:val="4"/>
            <w:vMerge w:val="continue"/>
            <w:tcBorders>
              <w:left w:val="single" w:color="auto" w:sz="4" w:space="0"/>
              <w:bottom w:val="single" w:color="auto" w:sz="4" w:space="0"/>
              <w:right w:val="single" w:color="auto" w:sz="4" w:space="0"/>
            </w:tcBorders>
            <w:noWrap w:val="0"/>
            <w:vAlign w:val="center"/>
          </w:tcPr>
          <w:p>
            <w:pPr>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315" w:type="dxa"/>
            <w:gridSpan w:val="8"/>
            <w:vMerge w:val="restart"/>
            <w:tcBorders>
              <w:left w:val="single" w:color="auto" w:sz="4" w:space="0"/>
              <w:right w:val="single" w:color="auto" w:sz="4" w:space="0"/>
            </w:tcBorders>
            <w:noWrap w:val="0"/>
            <w:vAlign w:val="center"/>
          </w:tcPr>
          <w:p>
            <w:pPr>
              <w:spacing w:line="280" w:lineRule="exact"/>
              <w:jc w:val="left"/>
              <w:rPr>
                <w:szCs w:val="21"/>
              </w:rPr>
            </w:pPr>
            <w:r>
              <w:rPr>
                <w:rFonts w:hint="eastAsia" w:ascii="宋体" w:hAnsi="宋体"/>
                <w:szCs w:val="21"/>
              </w:rPr>
              <w:t>《</w:t>
            </w:r>
            <w:r>
              <w:rPr>
                <w:rFonts w:hint="eastAsia" w:ascii="宋体" w:hAnsi="宋体"/>
                <w:szCs w:val="21"/>
                <w:lang w:val="en-US" w:eastAsia="zh-CN"/>
              </w:rPr>
              <w:t>仓储与配送管理实务</w:t>
            </w:r>
            <w:r>
              <w:rPr>
                <w:rFonts w:ascii="宋体" w:hAnsi="宋体"/>
                <w:szCs w:val="21"/>
              </w:rPr>
              <w:t>》</w:t>
            </w:r>
            <w:r>
              <w:rPr>
                <w:rFonts w:hint="eastAsia" w:ascii="宋体" w:hAnsi="宋体"/>
                <w:szCs w:val="21"/>
              </w:rPr>
              <w:t>、</w:t>
            </w:r>
            <w:r>
              <w:rPr>
                <w:rFonts w:ascii="宋体" w:hAnsi="宋体"/>
                <w:szCs w:val="21"/>
              </w:rPr>
              <w:t>《</w:t>
            </w:r>
            <w:r>
              <w:rPr>
                <w:rFonts w:hint="eastAsia" w:ascii="宋体" w:hAnsi="宋体"/>
                <w:szCs w:val="21"/>
                <w:lang w:val="en-US" w:eastAsia="zh-CN"/>
              </w:rPr>
              <w:t>现代物流基础</w:t>
            </w:r>
            <w:r>
              <w:rPr>
                <w:rFonts w:hint="eastAsia" w:ascii="宋体" w:hAnsi="宋体"/>
                <w:szCs w:val="21"/>
              </w:rPr>
              <w:t>》、《</w:t>
            </w:r>
            <w:r>
              <w:rPr>
                <w:rFonts w:hint="eastAsia" w:ascii="宋体" w:hAnsi="宋体"/>
                <w:szCs w:val="21"/>
                <w:lang w:val="en-US" w:eastAsia="zh-CN"/>
              </w:rPr>
              <w:t>快递实务</w:t>
            </w:r>
            <w:r>
              <w:rPr>
                <w:rFonts w:hint="eastAsia" w:ascii="宋体" w:hAnsi="宋体"/>
                <w:szCs w:val="21"/>
              </w:rPr>
              <w:t>》、《</w:t>
            </w:r>
            <w:r>
              <w:rPr>
                <w:rFonts w:hint="eastAsia" w:ascii="宋体" w:hAnsi="宋体"/>
                <w:szCs w:val="21"/>
                <w:lang w:val="en-US" w:eastAsia="zh-CN"/>
              </w:rPr>
              <w:t>采购与供应管理</w:t>
            </w:r>
            <w:r>
              <w:rPr>
                <w:rFonts w:hint="eastAsia" w:ascii="宋体" w:hAnsi="宋体"/>
                <w:szCs w:val="21"/>
              </w:rPr>
              <w:t>》、《物流配送管理》</w:t>
            </w:r>
            <w:r>
              <w:rPr>
                <w:rFonts w:hint="eastAsia" w:ascii="宋体" w:hAnsi="宋体"/>
                <w:szCs w:val="21"/>
                <w:lang w:eastAsia="zh-CN"/>
              </w:rPr>
              <w:t>、《</w:t>
            </w:r>
            <w:r>
              <w:rPr>
                <w:rFonts w:hint="eastAsia" w:ascii="宋体" w:hAnsi="宋体"/>
                <w:szCs w:val="21"/>
                <w:lang w:val="en-US" w:eastAsia="zh-CN"/>
              </w:rPr>
              <w:t>物流市场营销</w:t>
            </w:r>
            <w:r>
              <w:rPr>
                <w:rFonts w:hint="eastAsia" w:ascii="宋体" w:hAnsi="宋体"/>
                <w:szCs w:val="21"/>
                <w:lang w:eastAsia="zh-CN"/>
              </w:rPr>
              <w:t>》、《</w:t>
            </w:r>
            <w:r>
              <w:rPr>
                <w:rFonts w:hint="eastAsia" w:ascii="宋体" w:hAnsi="宋体"/>
                <w:szCs w:val="21"/>
                <w:lang w:val="en-US" w:eastAsia="zh-CN"/>
              </w:rPr>
              <w:t>统计数据处理与分析</w:t>
            </w:r>
            <w:r>
              <w:rPr>
                <w:rFonts w:hint="eastAsia" w:ascii="宋体" w:hAnsi="宋体"/>
                <w:szCs w:val="21"/>
                <w:lang w:eastAsia="zh-CN"/>
              </w:rPr>
              <w:t>》、《</w:t>
            </w:r>
            <w:r>
              <w:rPr>
                <w:rFonts w:hint="eastAsia" w:ascii="宋体" w:hAnsi="宋体"/>
                <w:szCs w:val="21"/>
                <w:lang w:val="en-US" w:eastAsia="zh-CN"/>
              </w:rPr>
              <w:t>电子商务与物流</w:t>
            </w:r>
            <w:r>
              <w:rPr>
                <w:rFonts w:hint="eastAsia" w:ascii="宋体" w:hAnsi="宋体"/>
                <w:szCs w:val="21"/>
                <w:lang w:eastAsia="zh-CN"/>
              </w:rPr>
              <w:t>》、《</w:t>
            </w:r>
            <w:r>
              <w:rPr>
                <w:rFonts w:hint="eastAsia" w:ascii="宋体" w:hAnsi="宋体"/>
                <w:szCs w:val="21"/>
                <w:lang w:val="en-US" w:eastAsia="zh-CN"/>
              </w:rPr>
              <w:t>企业管理概论</w:t>
            </w:r>
            <w:r>
              <w:rPr>
                <w:rFonts w:hint="eastAsia" w:ascii="宋体" w:hAnsi="宋体"/>
                <w:szCs w:val="21"/>
                <w:lang w:eastAsia="zh-CN"/>
              </w:rPr>
              <w:t>》</w:t>
            </w:r>
            <w:r>
              <w:rPr>
                <w:rFonts w:hint="eastAsia" w:ascii="宋体" w:hAnsi="宋体"/>
                <w:szCs w:val="21"/>
              </w:rPr>
              <w:t>等专业课程</w:t>
            </w:r>
            <w:r>
              <w:rPr>
                <w:rFonts w:hint="eastAsia" w:ascii="宋体" w:hAnsi="宋体"/>
                <w:szCs w:val="21"/>
                <w:lang w:eastAsia="zh-CN"/>
              </w:rPr>
              <w:t>；《</w:t>
            </w:r>
            <w:r>
              <w:rPr>
                <w:rFonts w:hint="eastAsia" w:ascii="宋体" w:hAnsi="宋体"/>
                <w:szCs w:val="21"/>
              </w:rPr>
              <w:t>物流专业综合实训</w:t>
            </w:r>
            <w:r>
              <w:rPr>
                <w:rFonts w:hint="eastAsia" w:ascii="宋体" w:hAnsi="宋体"/>
                <w:szCs w:val="21"/>
                <w:lang w:eastAsia="zh-CN"/>
              </w:rPr>
              <w:t>》、《</w:t>
            </w:r>
            <w:r>
              <w:rPr>
                <w:rFonts w:hint="eastAsia" w:ascii="宋体" w:hAnsi="宋体"/>
                <w:szCs w:val="21"/>
              </w:rPr>
              <w:t>物流沙盘实训</w:t>
            </w:r>
            <w:r>
              <w:rPr>
                <w:rFonts w:hint="eastAsia" w:ascii="宋体" w:hAnsi="宋体"/>
                <w:szCs w:val="21"/>
                <w:lang w:eastAsia="zh-CN"/>
              </w:rPr>
              <w:t>》、《</w:t>
            </w:r>
            <w:r>
              <w:rPr>
                <w:rFonts w:hint="eastAsia" w:ascii="宋体" w:hAnsi="宋体"/>
                <w:szCs w:val="21"/>
                <w:lang w:val="en-US" w:eastAsia="zh-CN"/>
              </w:rPr>
              <w:t>仓储与配送实训》、《末端物流配送</w:t>
            </w:r>
            <w:r>
              <w:rPr>
                <w:rFonts w:hint="eastAsia" w:ascii="宋体" w:hAnsi="宋体"/>
                <w:szCs w:val="21"/>
              </w:rPr>
              <w:t>实训</w:t>
            </w:r>
            <w:r>
              <w:rPr>
                <w:rFonts w:hint="eastAsia" w:ascii="宋体" w:hAnsi="宋体"/>
                <w:szCs w:val="21"/>
                <w:lang w:eastAsia="zh-CN"/>
              </w:rPr>
              <w:t>》、《</w:t>
            </w:r>
            <w:r>
              <w:rPr>
                <w:rFonts w:hint="eastAsia" w:ascii="宋体" w:hAnsi="宋体"/>
                <w:szCs w:val="21"/>
                <w:lang w:val="en-US" w:eastAsia="zh-CN"/>
              </w:rPr>
              <w:t>专业技能抽查实训</w:t>
            </w:r>
            <w:r>
              <w:rPr>
                <w:rFonts w:hint="eastAsia" w:ascii="宋体" w:hAnsi="宋体"/>
                <w:szCs w:val="21"/>
                <w:lang w:eastAsia="zh-CN"/>
              </w:rPr>
              <w:t>》</w:t>
            </w:r>
            <w:r>
              <w:rPr>
                <w:rFonts w:hint="eastAsia" w:ascii="宋体" w:hAnsi="宋体"/>
                <w:szCs w:val="21"/>
                <w:lang w:val="en-US" w:eastAsia="zh-CN"/>
              </w:rPr>
              <w:t>等</w:t>
            </w:r>
            <w:r>
              <w:rPr>
                <w:rFonts w:hint="eastAsia" w:ascii="宋体" w:hAnsi="宋体"/>
                <w:szCs w:val="21"/>
              </w:rPr>
              <w:t>，顶岗实习，毕业设计等</w:t>
            </w:r>
            <w:r>
              <w:rPr>
                <w:rFonts w:hint="eastAsia" w:ascii="宋体" w:hAnsi="宋体"/>
                <w:szCs w:val="21"/>
                <w:lang w:val="en-US" w:eastAsia="zh-CN"/>
              </w:rPr>
              <w:t>实训课程</w:t>
            </w:r>
            <w:r>
              <w:rPr>
                <w:rFonts w:hint="eastAsia" w:ascii="宋体" w:hAnsi="宋体"/>
                <w:szCs w:val="21"/>
              </w:rPr>
              <w:t>。</w:t>
            </w:r>
          </w:p>
        </w:tc>
        <w:tc>
          <w:tcPr>
            <w:tcW w:w="1241" w:type="dxa"/>
            <w:gridSpan w:val="2"/>
            <w:vMerge w:val="continue"/>
            <w:tcBorders>
              <w:left w:val="single" w:color="auto" w:sz="4" w:space="0"/>
              <w:bottom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 w:hRule="atLeast"/>
          <w:jc w:val="center"/>
        </w:trPr>
        <w:tc>
          <w:tcPr>
            <w:tcW w:w="5327" w:type="dxa"/>
            <w:gridSpan w:val="7"/>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毕业学校及专业</w:t>
            </w:r>
          </w:p>
        </w:tc>
        <w:tc>
          <w:tcPr>
            <w:tcW w:w="1449" w:type="dxa"/>
            <w:gridSpan w:val="2"/>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szCs w:val="21"/>
              </w:rPr>
            </w:pPr>
            <w:r>
              <w:rPr>
                <w:szCs w:val="21"/>
              </w:rPr>
              <w:t>毕业时间</w:t>
            </w:r>
          </w:p>
        </w:tc>
        <w:tc>
          <w:tcPr>
            <w:tcW w:w="722" w:type="dxa"/>
            <w:vMerge w:val="continue"/>
            <w:tcBorders>
              <w:left w:val="single" w:color="auto" w:sz="4" w:space="0"/>
              <w:right w:val="single" w:color="auto" w:sz="4" w:space="0"/>
            </w:tcBorders>
            <w:noWrap w:val="0"/>
            <w:vAlign w:val="bottom"/>
          </w:tcPr>
          <w:p>
            <w:pPr>
              <w:spacing w:line="280" w:lineRule="exact"/>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315"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rFonts w:hint="default" w:eastAsia="宋体"/>
                <w:szCs w:val="21"/>
                <w:lang w:val="en-US" w:eastAsia="zh-CN"/>
              </w:rPr>
            </w:pPr>
            <w:r>
              <w:rPr>
                <w:rFonts w:hint="eastAsia"/>
                <w:szCs w:val="21"/>
                <w:lang w:val="en-US" w:eastAsia="zh-CN"/>
              </w:rPr>
              <w:t>长沙理工大学/交通规划与管理</w:t>
            </w:r>
          </w:p>
        </w:tc>
        <w:tc>
          <w:tcPr>
            <w:tcW w:w="1449" w:type="dxa"/>
            <w:gridSpan w:val="2"/>
            <w:vMerge w:val="restart"/>
            <w:tcBorders>
              <w:top w:val="single" w:color="auto" w:sz="4" w:space="0"/>
              <w:left w:val="single" w:color="auto" w:sz="4" w:space="0"/>
              <w:right w:val="single" w:color="auto" w:sz="4" w:space="0"/>
            </w:tcBorders>
            <w:noWrap w:val="0"/>
            <w:vAlign w:val="center"/>
          </w:tcPr>
          <w:p>
            <w:pPr>
              <w:spacing w:line="280" w:lineRule="exact"/>
              <w:ind w:left="-28" w:leftChars="-51" w:right="-107" w:rightChars="-51" w:hanging="79" w:hangingChars="38"/>
              <w:jc w:val="center"/>
              <w:rPr>
                <w:rFonts w:hint="default" w:eastAsia="宋体"/>
                <w:szCs w:val="21"/>
                <w:lang w:val="en-US" w:eastAsia="zh-CN"/>
              </w:rPr>
            </w:pPr>
            <w:r>
              <w:rPr>
                <w:rFonts w:hint="eastAsia"/>
                <w:szCs w:val="21"/>
                <w:lang w:val="en-US" w:eastAsia="zh-CN"/>
              </w:rPr>
              <w:t>2009.6</w:t>
            </w:r>
          </w:p>
        </w:tc>
        <w:tc>
          <w:tcPr>
            <w:tcW w:w="722" w:type="dxa"/>
            <w:vMerge w:val="continue"/>
            <w:tcBorders>
              <w:left w:val="single" w:color="auto" w:sz="4" w:space="0"/>
              <w:bottom w:val="single" w:color="auto" w:sz="4" w:space="0"/>
              <w:right w:val="single" w:color="auto" w:sz="4" w:space="0"/>
            </w:tcBorders>
            <w:noWrap w:val="0"/>
            <w:vAlign w:val="bottom"/>
          </w:tcPr>
          <w:p>
            <w:pPr>
              <w:spacing w:line="280" w:lineRule="exact"/>
              <w:jc w:val="center"/>
              <w:rPr>
                <w:szCs w:val="21"/>
              </w:rPr>
            </w:pPr>
          </w:p>
        </w:tc>
        <w:tc>
          <w:tcPr>
            <w:tcW w:w="11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414"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86"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083"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8315" w:type="dxa"/>
            <w:gridSpan w:val="8"/>
            <w:vMerge w:val="continue"/>
            <w:tcBorders>
              <w:left w:val="single" w:color="auto" w:sz="4" w:space="0"/>
              <w:right w:val="single" w:color="auto" w:sz="4" w:space="0"/>
            </w:tcBorders>
            <w:noWrap w:val="0"/>
            <w:vAlign w:val="center"/>
          </w:tcPr>
          <w:p>
            <w:pPr>
              <w:spacing w:line="280" w:lineRule="exact"/>
              <w:jc w:val="center"/>
              <w:rPr>
                <w:szCs w:val="21"/>
              </w:rPr>
            </w:pPr>
          </w:p>
        </w:tc>
        <w:tc>
          <w:tcPr>
            <w:tcW w:w="1241" w:type="dxa"/>
            <w:gridSpan w:val="2"/>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5327" w:type="dxa"/>
            <w:gridSpan w:val="7"/>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449" w:type="dxa"/>
            <w:gridSpan w:val="2"/>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restart"/>
            <w:tcBorders>
              <w:top w:val="single" w:color="auto" w:sz="4" w:space="0"/>
              <w:left w:val="single" w:color="auto" w:sz="4" w:space="0"/>
              <w:right w:val="single" w:color="auto" w:sz="4" w:space="0"/>
            </w:tcBorders>
            <w:noWrap w:val="0"/>
            <w:vAlign w:val="center"/>
          </w:tcPr>
          <w:p>
            <w:pPr>
              <w:spacing w:line="280" w:lineRule="exact"/>
              <w:jc w:val="center"/>
              <w:rPr>
                <w:b/>
                <w:szCs w:val="21"/>
              </w:rPr>
            </w:pPr>
            <w:r>
              <w:rPr>
                <w:b/>
                <w:szCs w:val="21"/>
              </w:rPr>
              <w:t>科研工作</w:t>
            </w:r>
          </w:p>
        </w:tc>
        <w:tc>
          <w:tcPr>
            <w:tcW w:w="1114" w:type="dxa"/>
            <w:vMerge w:val="restart"/>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主要论著或论文（标题、刊物名称、发表时间、作者排名、代表作）</w:t>
            </w:r>
          </w:p>
        </w:tc>
        <w:tc>
          <w:tcPr>
            <w:tcW w:w="2200" w:type="dxa"/>
            <w:gridSpan w:val="2"/>
            <w:vMerge w:val="restart"/>
            <w:tcBorders>
              <w:left w:val="single" w:color="auto" w:sz="4" w:space="0"/>
              <w:right w:val="single" w:color="auto" w:sz="4" w:space="0"/>
            </w:tcBorders>
            <w:noWrap w:val="0"/>
            <w:vAlign w:val="center"/>
          </w:tcPr>
          <w:p>
            <w:pPr>
              <w:spacing w:line="280" w:lineRule="exact"/>
              <w:jc w:val="center"/>
              <w:rPr>
                <w:szCs w:val="21"/>
              </w:rPr>
            </w:pPr>
            <w:r>
              <w:rPr>
                <w:szCs w:val="21"/>
              </w:rPr>
              <w:t>论文总数</w:t>
            </w:r>
          </w:p>
        </w:tc>
        <w:tc>
          <w:tcPr>
            <w:tcW w:w="885" w:type="dxa"/>
            <w:vMerge w:val="restart"/>
            <w:tcBorders>
              <w:left w:val="single" w:color="auto" w:sz="4" w:space="0"/>
              <w:right w:val="single" w:color="auto" w:sz="4" w:space="0"/>
            </w:tcBorders>
            <w:noWrap w:val="0"/>
            <w:vAlign w:val="center"/>
          </w:tcPr>
          <w:p>
            <w:pPr>
              <w:spacing w:line="280" w:lineRule="exact"/>
              <w:jc w:val="center"/>
              <w:rPr>
                <w:rFonts w:hint="default" w:eastAsia="宋体"/>
                <w:szCs w:val="21"/>
                <w:lang w:val="en-US" w:eastAsia="zh-CN"/>
              </w:rPr>
            </w:pPr>
            <w:r>
              <w:rPr>
                <w:rFonts w:hint="eastAsia"/>
                <w:szCs w:val="21"/>
                <w:lang w:val="en-US" w:eastAsia="zh-CN"/>
              </w:rPr>
              <w:t>13</w:t>
            </w:r>
          </w:p>
        </w:tc>
        <w:tc>
          <w:tcPr>
            <w:tcW w:w="7321" w:type="dxa"/>
            <w:gridSpan w:val="6"/>
            <w:vMerge w:val="restart"/>
            <w:tcBorders>
              <w:left w:val="single" w:color="auto" w:sz="4" w:space="0"/>
              <w:right w:val="single" w:color="auto" w:sz="4" w:space="0"/>
            </w:tcBorders>
            <w:noWrap w:val="0"/>
            <w:vAlign w:val="center"/>
          </w:tcPr>
          <w:p>
            <w:pPr>
              <w:spacing w:line="280" w:lineRule="exact"/>
              <w:jc w:val="center"/>
              <w:rPr>
                <w:szCs w:val="21"/>
              </w:rPr>
            </w:pPr>
            <w:r>
              <w:rPr>
                <w:szCs w:val="21"/>
              </w:rPr>
              <w:t>专（译）著、国家级规划教材、省级规划教材数</w:t>
            </w:r>
          </w:p>
        </w:tc>
        <w:tc>
          <w:tcPr>
            <w:tcW w:w="2084" w:type="dxa"/>
            <w:gridSpan w:val="4"/>
            <w:vMerge w:val="restart"/>
            <w:tcBorders>
              <w:top w:val="nil"/>
              <w:left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2</w:t>
            </w:r>
          </w:p>
        </w:tc>
        <w:tc>
          <w:tcPr>
            <w:tcW w:w="1234"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restart"/>
            <w:tcBorders>
              <w:left w:val="single" w:color="auto" w:sz="4" w:space="0"/>
              <w:right w:val="single" w:color="auto" w:sz="4" w:space="0"/>
            </w:tcBorders>
            <w:noWrap w:val="0"/>
            <w:vAlign w:val="center"/>
          </w:tcPr>
          <w:p>
            <w:pPr>
              <w:widowControl/>
              <w:spacing w:line="280" w:lineRule="exact"/>
              <w:ind w:left="-28" w:leftChars="-51" w:right="-107" w:rightChars="-51" w:hanging="79" w:hangingChars="38"/>
              <w:jc w:val="center"/>
              <w:rPr>
                <w:szCs w:val="21"/>
              </w:rPr>
            </w:pPr>
            <w:r>
              <w:rPr>
                <w:szCs w:val="21"/>
              </w:rPr>
              <w:t>近五年年度考核情况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2200" w:type="dxa"/>
            <w:gridSpan w:val="2"/>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885"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7321" w:type="dxa"/>
            <w:gridSpan w:val="6"/>
            <w:vMerge w:val="continue"/>
            <w:tcBorders>
              <w:left w:val="single" w:color="auto" w:sz="4" w:space="0"/>
              <w:right w:val="single" w:color="auto" w:sz="4" w:space="0"/>
            </w:tcBorders>
            <w:noWrap w:val="0"/>
            <w:vAlign w:val="center"/>
          </w:tcPr>
          <w:p>
            <w:pPr>
              <w:spacing w:line="280" w:lineRule="exact"/>
              <w:jc w:val="center"/>
              <w:rPr>
                <w:szCs w:val="21"/>
              </w:rPr>
            </w:pPr>
          </w:p>
        </w:tc>
        <w:tc>
          <w:tcPr>
            <w:tcW w:w="2084" w:type="dxa"/>
            <w:gridSpan w:val="4"/>
            <w:vMerge w:val="continue"/>
            <w:tcBorders>
              <w:top w:val="nil"/>
              <w:left w:val="single" w:color="auto" w:sz="4" w:space="0"/>
              <w:right w:val="single" w:color="auto" w:sz="4" w:space="0"/>
            </w:tcBorders>
            <w:noWrap w:val="0"/>
            <w:vAlign w:val="center"/>
          </w:tcPr>
          <w:p>
            <w:pPr>
              <w:spacing w:line="280" w:lineRule="exact"/>
              <w:jc w:val="center"/>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0"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14" w:type="dxa"/>
            <w:vMerge w:val="continue"/>
            <w:tcBorders>
              <w:left w:val="single" w:color="auto" w:sz="4" w:space="0"/>
              <w:right w:val="single" w:color="auto" w:sz="4" w:space="0"/>
            </w:tcBorders>
            <w:noWrap w:val="0"/>
            <w:vAlign w:val="center"/>
          </w:tcPr>
          <w:p>
            <w:pPr>
              <w:spacing w:line="280" w:lineRule="exact"/>
              <w:ind w:left="180"/>
              <w:jc w:val="center"/>
              <w:rPr>
                <w:szCs w:val="21"/>
              </w:rPr>
            </w:pPr>
          </w:p>
        </w:tc>
        <w:tc>
          <w:tcPr>
            <w:tcW w:w="12490" w:type="dxa"/>
            <w:gridSpan w:val="13"/>
            <w:vMerge w:val="restart"/>
            <w:tcBorders>
              <w:left w:val="single" w:color="auto" w:sz="4" w:space="0"/>
              <w:right w:val="single" w:color="auto" w:sz="4" w:space="0"/>
            </w:tcBorders>
            <w:noWrap w:val="0"/>
            <w:vAlign w:val="center"/>
          </w:tcPr>
          <w:p>
            <w:pPr>
              <w:spacing w:line="280" w:lineRule="exact"/>
              <w:rPr>
                <w:rFonts w:hint="eastAsia"/>
                <w:szCs w:val="21"/>
                <w:lang w:eastAsia="zh-CN"/>
              </w:rPr>
            </w:pPr>
            <w:r>
              <w:rPr>
                <w:rFonts w:hint="eastAsia"/>
                <w:b/>
                <w:bCs/>
                <w:szCs w:val="21"/>
                <w:lang w:val="en-US" w:eastAsia="zh-CN"/>
              </w:rPr>
              <w:t>论文：</w:t>
            </w:r>
            <w:r>
              <w:rPr>
                <w:rFonts w:hint="eastAsia"/>
                <w:szCs w:val="21"/>
              </w:rPr>
              <w:t>1</w:t>
            </w:r>
            <w:r>
              <w:rPr>
                <w:rFonts w:hint="eastAsia"/>
                <w:szCs w:val="21"/>
                <w:lang w:eastAsia="zh-CN"/>
              </w:rPr>
              <w:t>、</w:t>
            </w:r>
            <w:r>
              <w:rPr>
                <w:rFonts w:hint="eastAsia"/>
                <w:szCs w:val="21"/>
              </w:rPr>
              <w:t>基于双元制工学交替“七级递阶式”仓储管理实务课程改革实证研究</w:t>
            </w:r>
            <w:r>
              <w:rPr>
                <w:rFonts w:hint="eastAsia"/>
                <w:szCs w:val="21"/>
                <w:lang w:eastAsia="zh-CN"/>
              </w:rPr>
              <w:t>，</w:t>
            </w:r>
            <w:r>
              <w:rPr>
                <w:rFonts w:hint="eastAsia"/>
                <w:szCs w:val="21"/>
              </w:rPr>
              <w:t>职业时空</w:t>
            </w:r>
            <w:r>
              <w:rPr>
                <w:rFonts w:hint="eastAsia"/>
                <w:szCs w:val="21"/>
                <w:lang w:eastAsia="zh-CN"/>
              </w:rPr>
              <w:t>，</w:t>
            </w:r>
            <w:r>
              <w:rPr>
                <w:rFonts w:hint="eastAsia"/>
                <w:szCs w:val="21"/>
              </w:rPr>
              <w:t>2015.6</w:t>
            </w:r>
            <w:r>
              <w:rPr>
                <w:rFonts w:hint="eastAsia"/>
                <w:szCs w:val="21"/>
                <w:lang w:eastAsia="zh-CN"/>
              </w:rPr>
              <w:t>，</w:t>
            </w:r>
            <w:r>
              <w:rPr>
                <w:rFonts w:hint="eastAsia"/>
                <w:szCs w:val="21"/>
              </w:rPr>
              <w:t>排名第一</w:t>
            </w:r>
            <w:r>
              <w:rPr>
                <w:rFonts w:hint="eastAsia"/>
                <w:szCs w:val="21"/>
                <w:lang w:eastAsia="zh-CN"/>
              </w:rPr>
              <w:t>；</w:t>
            </w:r>
            <w:r>
              <w:rPr>
                <w:rFonts w:hint="eastAsia"/>
                <w:szCs w:val="21"/>
              </w:rPr>
              <w:t>2</w:t>
            </w:r>
            <w:r>
              <w:rPr>
                <w:rFonts w:hint="eastAsia"/>
                <w:szCs w:val="21"/>
                <w:lang w:eastAsia="zh-CN"/>
              </w:rPr>
              <w:t>、</w:t>
            </w:r>
            <w:r>
              <w:rPr>
                <w:rFonts w:hint="eastAsia"/>
                <w:szCs w:val="21"/>
              </w:rPr>
              <w:t>“供给侧”视角下高职物流专业人才培养创新改革</w:t>
            </w:r>
            <w:r>
              <w:rPr>
                <w:rFonts w:hint="eastAsia"/>
                <w:szCs w:val="21"/>
                <w:lang w:eastAsia="zh-CN"/>
              </w:rPr>
              <w:t>，</w:t>
            </w:r>
            <w:r>
              <w:rPr>
                <w:rFonts w:hint="eastAsia"/>
                <w:szCs w:val="21"/>
              </w:rPr>
              <w:t>文教资料</w:t>
            </w:r>
            <w:r>
              <w:rPr>
                <w:rFonts w:hint="eastAsia"/>
                <w:szCs w:val="21"/>
                <w:lang w:eastAsia="zh-CN"/>
              </w:rPr>
              <w:t>，</w:t>
            </w:r>
            <w:r>
              <w:rPr>
                <w:rFonts w:hint="eastAsia"/>
                <w:szCs w:val="21"/>
              </w:rPr>
              <w:t>2016.2</w:t>
            </w:r>
            <w:r>
              <w:rPr>
                <w:rFonts w:hint="eastAsia"/>
                <w:szCs w:val="21"/>
                <w:lang w:eastAsia="zh-CN"/>
              </w:rPr>
              <w:t>，</w:t>
            </w:r>
            <w:r>
              <w:rPr>
                <w:rFonts w:hint="eastAsia"/>
                <w:szCs w:val="21"/>
              </w:rPr>
              <w:t>独著</w:t>
            </w:r>
            <w:r>
              <w:rPr>
                <w:rFonts w:hint="eastAsia"/>
                <w:szCs w:val="21"/>
                <w:lang w:eastAsia="zh-CN"/>
              </w:rPr>
              <w:t>；</w:t>
            </w:r>
            <w:r>
              <w:rPr>
                <w:rFonts w:hint="eastAsia"/>
                <w:szCs w:val="21"/>
              </w:rPr>
              <w:t>3</w:t>
            </w:r>
            <w:r>
              <w:rPr>
                <w:rFonts w:hint="eastAsia"/>
                <w:szCs w:val="21"/>
                <w:lang w:eastAsia="zh-CN"/>
              </w:rPr>
              <w:t>、</w:t>
            </w:r>
            <w:r>
              <w:rPr>
                <w:rFonts w:hint="eastAsia"/>
                <w:szCs w:val="21"/>
              </w:rPr>
              <w:t>信息化教学驱动下高职物流信息管理课程改革实践研究</w:t>
            </w:r>
            <w:r>
              <w:rPr>
                <w:rFonts w:hint="eastAsia"/>
                <w:szCs w:val="21"/>
                <w:lang w:eastAsia="zh-CN"/>
              </w:rPr>
              <w:t>，</w:t>
            </w:r>
            <w:r>
              <w:rPr>
                <w:rFonts w:hint="eastAsia"/>
                <w:szCs w:val="21"/>
              </w:rPr>
              <w:t>物流科技</w:t>
            </w:r>
            <w:r>
              <w:rPr>
                <w:rFonts w:hint="eastAsia"/>
                <w:szCs w:val="21"/>
                <w:lang w:eastAsia="zh-CN"/>
              </w:rPr>
              <w:t>，</w:t>
            </w:r>
            <w:r>
              <w:rPr>
                <w:rFonts w:hint="eastAsia"/>
                <w:szCs w:val="21"/>
              </w:rPr>
              <w:t>2016.4</w:t>
            </w:r>
            <w:r>
              <w:rPr>
                <w:rFonts w:hint="eastAsia"/>
                <w:szCs w:val="21"/>
                <w:lang w:eastAsia="zh-CN"/>
              </w:rPr>
              <w:t>，</w:t>
            </w:r>
            <w:r>
              <w:rPr>
                <w:rFonts w:hint="eastAsia"/>
                <w:szCs w:val="21"/>
              </w:rPr>
              <w:t>独著</w:t>
            </w:r>
            <w:r>
              <w:rPr>
                <w:rFonts w:hint="eastAsia"/>
                <w:szCs w:val="21"/>
                <w:lang w:eastAsia="zh-CN"/>
              </w:rPr>
              <w:t>；</w:t>
            </w:r>
            <w:r>
              <w:rPr>
                <w:rFonts w:hint="eastAsia"/>
                <w:szCs w:val="21"/>
              </w:rPr>
              <w:t>4</w:t>
            </w:r>
            <w:r>
              <w:rPr>
                <w:rFonts w:hint="eastAsia"/>
                <w:szCs w:val="21"/>
                <w:lang w:eastAsia="zh-CN"/>
              </w:rPr>
              <w:t>、</w:t>
            </w:r>
            <w:r>
              <w:rPr>
                <w:rFonts w:hint="eastAsia"/>
                <w:szCs w:val="21"/>
              </w:rPr>
              <w:t>跨境电商背景下物流管理专业人才培养创新研究</w:t>
            </w:r>
            <w:r>
              <w:rPr>
                <w:rFonts w:hint="eastAsia"/>
                <w:szCs w:val="21"/>
                <w:lang w:eastAsia="zh-CN"/>
              </w:rPr>
              <w:t>，</w:t>
            </w:r>
            <w:r>
              <w:rPr>
                <w:rFonts w:hint="eastAsia"/>
                <w:szCs w:val="21"/>
              </w:rPr>
              <w:t>产业与科技论坛</w:t>
            </w:r>
            <w:r>
              <w:rPr>
                <w:rFonts w:hint="eastAsia"/>
                <w:szCs w:val="21"/>
                <w:lang w:eastAsia="zh-CN"/>
              </w:rPr>
              <w:t>，</w:t>
            </w:r>
            <w:r>
              <w:rPr>
                <w:rFonts w:hint="eastAsia"/>
                <w:szCs w:val="21"/>
              </w:rPr>
              <w:t>2017.1</w:t>
            </w:r>
            <w:r>
              <w:rPr>
                <w:rFonts w:hint="eastAsia"/>
                <w:szCs w:val="21"/>
                <w:lang w:eastAsia="zh-CN"/>
              </w:rPr>
              <w:t>，</w:t>
            </w:r>
            <w:r>
              <w:rPr>
                <w:rFonts w:hint="eastAsia"/>
                <w:szCs w:val="21"/>
              </w:rPr>
              <w:t>独著</w:t>
            </w:r>
            <w:r>
              <w:rPr>
                <w:rFonts w:hint="eastAsia"/>
                <w:szCs w:val="21"/>
                <w:lang w:eastAsia="zh-CN"/>
              </w:rPr>
              <w:t>；</w:t>
            </w:r>
            <w:r>
              <w:rPr>
                <w:rFonts w:hint="eastAsia"/>
                <w:szCs w:val="21"/>
              </w:rPr>
              <w:t>5</w:t>
            </w:r>
            <w:r>
              <w:rPr>
                <w:rFonts w:hint="eastAsia"/>
                <w:szCs w:val="21"/>
                <w:lang w:eastAsia="zh-CN"/>
              </w:rPr>
              <w:t>、</w:t>
            </w:r>
            <w:r>
              <w:rPr>
                <w:rFonts w:hint="eastAsia"/>
                <w:szCs w:val="21"/>
              </w:rPr>
              <w:t>第三方物流企业仓单质押业务实证研究</w:t>
            </w:r>
            <w:r>
              <w:rPr>
                <w:rFonts w:hint="eastAsia"/>
                <w:szCs w:val="21"/>
                <w:lang w:eastAsia="zh-CN"/>
              </w:rPr>
              <w:t>，</w:t>
            </w:r>
            <w:r>
              <w:rPr>
                <w:rFonts w:hint="eastAsia"/>
                <w:szCs w:val="21"/>
              </w:rPr>
              <w:t>河北职业教育</w:t>
            </w:r>
            <w:r>
              <w:rPr>
                <w:rFonts w:hint="eastAsia"/>
                <w:szCs w:val="21"/>
                <w:lang w:eastAsia="zh-CN"/>
              </w:rPr>
              <w:t>，</w:t>
            </w:r>
            <w:r>
              <w:rPr>
                <w:rFonts w:hint="eastAsia"/>
                <w:szCs w:val="21"/>
              </w:rPr>
              <w:t>2017.3</w:t>
            </w:r>
            <w:r>
              <w:rPr>
                <w:rFonts w:hint="eastAsia"/>
                <w:szCs w:val="21"/>
                <w:lang w:eastAsia="zh-CN"/>
              </w:rPr>
              <w:t>，</w:t>
            </w:r>
            <w:r>
              <w:rPr>
                <w:rFonts w:hint="eastAsia"/>
                <w:szCs w:val="21"/>
              </w:rPr>
              <w:t>独著</w:t>
            </w:r>
            <w:r>
              <w:rPr>
                <w:rFonts w:hint="eastAsia"/>
                <w:szCs w:val="21"/>
                <w:lang w:eastAsia="zh-CN"/>
              </w:rPr>
              <w:t>；</w:t>
            </w:r>
            <w:r>
              <w:rPr>
                <w:rFonts w:hint="eastAsia"/>
                <w:szCs w:val="21"/>
              </w:rPr>
              <w:t>6</w:t>
            </w:r>
            <w:r>
              <w:rPr>
                <w:rFonts w:hint="eastAsia"/>
                <w:szCs w:val="21"/>
                <w:lang w:eastAsia="zh-CN"/>
              </w:rPr>
              <w:t>、</w:t>
            </w:r>
            <w:r>
              <w:rPr>
                <w:rFonts w:hint="eastAsia"/>
                <w:szCs w:val="21"/>
              </w:rPr>
              <w:t>高职概论类课程碎片化教学改革实践---以物流管理概论为例</w:t>
            </w:r>
            <w:r>
              <w:rPr>
                <w:rFonts w:hint="eastAsia"/>
                <w:szCs w:val="21"/>
                <w:lang w:eastAsia="zh-CN"/>
              </w:rPr>
              <w:t>，</w:t>
            </w:r>
            <w:r>
              <w:rPr>
                <w:rFonts w:hint="eastAsia"/>
                <w:szCs w:val="21"/>
              </w:rPr>
              <w:t>河北职业教育</w:t>
            </w:r>
            <w:r>
              <w:rPr>
                <w:rFonts w:hint="eastAsia"/>
                <w:szCs w:val="21"/>
                <w:lang w:eastAsia="zh-CN"/>
              </w:rPr>
              <w:t>，</w:t>
            </w:r>
            <w:r>
              <w:rPr>
                <w:rFonts w:hint="eastAsia"/>
                <w:szCs w:val="21"/>
              </w:rPr>
              <w:t>2017.4</w:t>
            </w:r>
            <w:r>
              <w:rPr>
                <w:rFonts w:hint="eastAsia"/>
                <w:szCs w:val="21"/>
                <w:lang w:eastAsia="zh-CN"/>
              </w:rPr>
              <w:t>，</w:t>
            </w:r>
            <w:r>
              <w:rPr>
                <w:rFonts w:hint="eastAsia"/>
                <w:szCs w:val="21"/>
              </w:rPr>
              <w:t>独著</w:t>
            </w:r>
            <w:r>
              <w:rPr>
                <w:rFonts w:hint="eastAsia"/>
                <w:szCs w:val="21"/>
                <w:lang w:eastAsia="zh-CN"/>
              </w:rPr>
              <w:t>；</w:t>
            </w:r>
            <w:r>
              <w:rPr>
                <w:rFonts w:hint="eastAsia"/>
                <w:szCs w:val="21"/>
              </w:rPr>
              <w:t>7</w:t>
            </w:r>
            <w:r>
              <w:rPr>
                <w:rFonts w:hint="eastAsia"/>
                <w:szCs w:val="21"/>
                <w:lang w:eastAsia="zh-CN"/>
              </w:rPr>
              <w:t>、</w:t>
            </w:r>
            <w:r>
              <w:rPr>
                <w:rFonts w:hint="eastAsia"/>
                <w:szCs w:val="21"/>
              </w:rPr>
              <w:t>价值工程视角下高职物流管理专业实训基地运行优化策略</w:t>
            </w:r>
            <w:r>
              <w:rPr>
                <w:rFonts w:hint="eastAsia"/>
                <w:szCs w:val="21"/>
                <w:lang w:eastAsia="zh-CN"/>
              </w:rPr>
              <w:t>，</w:t>
            </w:r>
            <w:r>
              <w:rPr>
                <w:rFonts w:hint="eastAsia"/>
                <w:szCs w:val="21"/>
              </w:rPr>
              <w:t>职教通讯</w:t>
            </w:r>
            <w:r>
              <w:rPr>
                <w:rFonts w:hint="eastAsia"/>
                <w:szCs w:val="21"/>
                <w:lang w:eastAsia="zh-CN"/>
              </w:rPr>
              <w:t>，</w:t>
            </w:r>
            <w:r>
              <w:rPr>
                <w:rFonts w:hint="eastAsia"/>
                <w:szCs w:val="21"/>
              </w:rPr>
              <w:t>2017.11</w:t>
            </w:r>
            <w:r>
              <w:rPr>
                <w:rFonts w:hint="eastAsia"/>
                <w:szCs w:val="21"/>
                <w:lang w:eastAsia="zh-CN"/>
              </w:rPr>
              <w:t>，</w:t>
            </w:r>
            <w:r>
              <w:rPr>
                <w:rFonts w:hint="eastAsia"/>
                <w:szCs w:val="21"/>
              </w:rPr>
              <w:t>独著</w:t>
            </w:r>
            <w:r>
              <w:rPr>
                <w:rFonts w:hint="eastAsia"/>
                <w:szCs w:val="21"/>
                <w:lang w:eastAsia="zh-CN"/>
              </w:rPr>
              <w:t>；</w:t>
            </w:r>
            <w:r>
              <w:rPr>
                <w:rFonts w:hint="eastAsia"/>
                <w:szCs w:val="21"/>
              </w:rPr>
              <w:t>8</w:t>
            </w:r>
            <w:r>
              <w:rPr>
                <w:rFonts w:hint="eastAsia"/>
                <w:szCs w:val="21"/>
                <w:lang w:eastAsia="zh-CN"/>
              </w:rPr>
              <w:t>、</w:t>
            </w:r>
            <w:r>
              <w:rPr>
                <w:rFonts w:hint="eastAsia"/>
                <w:szCs w:val="21"/>
              </w:rPr>
              <w:t>基于岗位职业能力的《统计数据分析与处理》课程混合式教学改革探索</w:t>
            </w:r>
            <w:r>
              <w:rPr>
                <w:rFonts w:hint="eastAsia"/>
                <w:szCs w:val="21"/>
                <w:lang w:eastAsia="zh-CN"/>
              </w:rPr>
              <w:t>，</w:t>
            </w:r>
            <w:r>
              <w:rPr>
                <w:rFonts w:hint="eastAsia"/>
                <w:szCs w:val="21"/>
              </w:rPr>
              <w:t>河北职业教育</w:t>
            </w:r>
            <w:r>
              <w:rPr>
                <w:rFonts w:hint="eastAsia"/>
                <w:szCs w:val="21"/>
                <w:lang w:eastAsia="zh-CN"/>
              </w:rPr>
              <w:t>，</w:t>
            </w:r>
            <w:r>
              <w:rPr>
                <w:rFonts w:hint="eastAsia"/>
                <w:szCs w:val="21"/>
              </w:rPr>
              <w:t>2018.2</w:t>
            </w:r>
            <w:r>
              <w:rPr>
                <w:rFonts w:hint="eastAsia"/>
                <w:szCs w:val="21"/>
                <w:lang w:eastAsia="zh-CN"/>
              </w:rPr>
              <w:t>，</w:t>
            </w:r>
            <w:r>
              <w:rPr>
                <w:rFonts w:hint="eastAsia"/>
                <w:szCs w:val="21"/>
              </w:rPr>
              <w:t>独著</w:t>
            </w:r>
            <w:r>
              <w:rPr>
                <w:rFonts w:hint="eastAsia"/>
                <w:szCs w:val="21"/>
                <w:lang w:eastAsia="zh-CN"/>
              </w:rPr>
              <w:t>；</w:t>
            </w:r>
            <w:r>
              <w:rPr>
                <w:rFonts w:hint="eastAsia"/>
                <w:szCs w:val="21"/>
              </w:rPr>
              <w:t>9</w:t>
            </w:r>
            <w:r>
              <w:rPr>
                <w:rFonts w:hint="eastAsia"/>
                <w:szCs w:val="21"/>
                <w:lang w:eastAsia="zh-CN"/>
              </w:rPr>
              <w:t>、</w:t>
            </w:r>
            <w:r>
              <w:rPr>
                <w:rFonts w:hint="eastAsia"/>
                <w:szCs w:val="21"/>
              </w:rPr>
              <w:t>The Logistics Management System Based on Internet of Things</w:t>
            </w:r>
            <w:r>
              <w:rPr>
                <w:rFonts w:hint="eastAsia"/>
                <w:szCs w:val="21"/>
                <w:lang w:eastAsia="zh-CN"/>
              </w:rPr>
              <w:t>，</w:t>
            </w:r>
            <w:r>
              <w:rPr>
                <w:rFonts w:hint="eastAsia"/>
                <w:szCs w:val="21"/>
              </w:rPr>
              <w:t>JOURNALOF ADVANCED OXIDATION TECHNOLOGIES</w:t>
            </w:r>
            <w:r>
              <w:rPr>
                <w:rFonts w:hint="eastAsia"/>
                <w:szCs w:val="21"/>
                <w:lang w:eastAsia="zh-CN"/>
              </w:rPr>
              <w:t>，</w:t>
            </w:r>
            <w:r>
              <w:rPr>
                <w:rFonts w:hint="eastAsia"/>
                <w:szCs w:val="21"/>
              </w:rPr>
              <w:t>SCI收录</w:t>
            </w:r>
            <w:r>
              <w:rPr>
                <w:rFonts w:hint="eastAsia"/>
                <w:szCs w:val="21"/>
                <w:lang w:eastAsia="zh-CN"/>
              </w:rPr>
              <w:t>，</w:t>
            </w:r>
            <w:r>
              <w:rPr>
                <w:rFonts w:hint="eastAsia"/>
                <w:szCs w:val="21"/>
              </w:rPr>
              <w:t>2018.2</w:t>
            </w:r>
            <w:r>
              <w:rPr>
                <w:rFonts w:hint="eastAsia"/>
                <w:szCs w:val="21"/>
                <w:lang w:eastAsia="zh-CN"/>
              </w:rPr>
              <w:t>，</w:t>
            </w:r>
            <w:r>
              <w:rPr>
                <w:rFonts w:hint="eastAsia"/>
                <w:szCs w:val="21"/>
              </w:rPr>
              <w:t>独著</w:t>
            </w:r>
            <w:r>
              <w:rPr>
                <w:rFonts w:hint="eastAsia"/>
                <w:szCs w:val="21"/>
                <w:lang w:eastAsia="zh-CN"/>
              </w:rPr>
              <w:t>；</w:t>
            </w:r>
            <w:r>
              <w:rPr>
                <w:rFonts w:hint="eastAsia"/>
                <w:szCs w:val="21"/>
              </w:rPr>
              <w:t>10</w:t>
            </w:r>
            <w:r>
              <w:rPr>
                <w:rFonts w:hint="eastAsia"/>
                <w:szCs w:val="21"/>
                <w:lang w:eastAsia="zh-CN"/>
              </w:rPr>
              <w:t>、</w:t>
            </w:r>
            <w:r>
              <w:rPr>
                <w:rFonts w:hint="eastAsia"/>
                <w:szCs w:val="21"/>
              </w:rPr>
              <w:t>高职商科类专业创新创业教育与专业教育松散耦合研究</w:t>
            </w:r>
            <w:r>
              <w:rPr>
                <w:rFonts w:hint="eastAsia"/>
                <w:szCs w:val="21"/>
                <w:lang w:eastAsia="zh-CN"/>
              </w:rPr>
              <w:t>，</w:t>
            </w:r>
            <w:r>
              <w:rPr>
                <w:rFonts w:hint="eastAsia"/>
                <w:szCs w:val="21"/>
              </w:rPr>
              <w:t>内蒙古教育</w:t>
            </w:r>
            <w:r>
              <w:rPr>
                <w:rFonts w:hint="eastAsia"/>
                <w:szCs w:val="21"/>
                <w:lang w:eastAsia="zh-CN"/>
              </w:rPr>
              <w:t>，</w:t>
            </w:r>
            <w:r>
              <w:rPr>
                <w:rFonts w:hint="eastAsia"/>
                <w:szCs w:val="21"/>
              </w:rPr>
              <w:t>2018.9</w:t>
            </w:r>
            <w:r>
              <w:rPr>
                <w:rFonts w:hint="eastAsia"/>
                <w:szCs w:val="21"/>
                <w:lang w:eastAsia="zh-CN"/>
              </w:rPr>
              <w:t>，</w:t>
            </w:r>
            <w:r>
              <w:rPr>
                <w:rFonts w:hint="eastAsia"/>
                <w:szCs w:val="21"/>
              </w:rPr>
              <w:t>排名第一</w:t>
            </w:r>
            <w:r>
              <w:rPr>
                <w:rFonts w:hint="eastAsia"/>
                <w:szCs w:val="21"/>
                <w:lang w:eastAsia="zh-CN"/>
              </w:rPr>
              <w:t>；</w:t>
            </w:r>
            <w:r>
              <w:rPr>
                <w:rFonts w:hint="eastAsia"/>
                <w:szCs w:val="21"/>
              </w:rPr>
              <w:t>11</w:t>
            </w:r>
            <w:r>
              <w:rPr>
                <w:rFonts w:hint="eastAsia"/>
                <w:szCs w:val="21"/>
                <w:lang w:eastAsia="zh-CN"/>
              </w:rPr>
              <w:t>、</w:t>
            </w:r>
            <w:r>
              <w:rPr>
                <w:rFonts w:hint="eastAsia"/>
                <w:szCs w:val="21"/>
              </w:rPr>
              <w:t>产教融合环境下高职物流专业学生创业项目实证研究</w:t>
            </w:r>
            <w:r>
              <w:rPr>
                <w:rFonts w:hint="eastAsia"/>
                <w:szCs w:val="21"/>
                <w:lang w:eastAsia="zh-CN"/>
              </w:rPr>
              <w:t>，</w:t>
            </w:r>
            <w:r>
              <w:rPr>
                <w:rFonts w:hint="eastAsia"/>
                <w:szCs w:val="21"/>
              </w:rPr>
              <w:t>山西科技</w:t>
            </w:r>
            <w:r>
              <w:rPr>
                <w:rFonts w:hint="eastAsia"/>
                <w:szCs w:val="21"/>
                <w:lang w:eastAsia="zh-CN"/>
              </w:rPr>
              <w:t>，</w:t>
            </w:r>
            <w:r>
              <w:rPr>
                <w:rFonts w:hint="eastAsia"/>
                <w:szCs w:val="21"/>
              </w:rPr>
              <w:t>2019.3</w:t>
            </w:r>
            <w:r>
              <w:rPr>
                <w:rFonts w:hint="eastAsia"/>
                <w:szCs w:val="21"/>
                <w:lang w:eastAsia="zh-CN"/>
              </w:rPr>
              <w:t>，</w:t>
            </w:r>
            <w:r>
              <w:rPr>
                <w:rFonts w:hint="eastAsia"/>
                <w:szCs w:val="21"/>
              </w:rPr>
              <w:t>排名第一</w:t>
            </w:r>
            <w:r>
              <w:rPr>
                <w:rFonts w:hint="eastAsia"/>
                <w:szCs w:val="21"/>
                <w:lang w:eastAsia="zh-CN"/>
              </w:rPr>
              <w:t>；</w:t>
            </w:r>
            <w:r>
              <w:rPr>
                <w:rFonts w:hint="eastAsia"/>
                <w:szCs w:val="21"/>
              </w:rPr>
              <w:t>12</w:t>
            </w:r>
            <w:r>
              <w:rPr>
                <w:rFonts w:hint="eastAsia"/>
                <w:szCs w:val="21"/>
                <w:lang w:eastAsia="zh-CN"/>
              </w:rPr>
              <w:t>、</w:t>
            </w:r>
            <w:r>
              <w:rPr>
                <w:rFonts w:hint="eastAsia"/>
                <w:szCs w:val="21"/>
              </w:rPr>
              <w:t>从生态思维视角研究高职流通类专业产教融合发展</w:t>
            </w:r>
            <w:r>
              <w:rPr>
                <w:rFonts w:hint="eastAsia"/>
                <w:szCs w:val="21"/>
                <w:lang w:eastAsia="zh-CN"/>
              </w:rPr>
              <w:t>，</w:t>
            </w:r>
            <w:r>
              <w:rPr>
                <w:rFonts w:hint="eastAsia"/>
                <w:szCs w:val="21"/>
              </w:rPr>
              <w:t>内蒙古教育</w:t>
            </w:r>
            <w:r>
              <w:rPr>
                <w:rFonts w:hint="eastAsia"/>
                <w:szCs w:val="21"/>
                <w:lang w:eastAsia="zh-CN"/>
              </w:rPr>
              <w:t>，</w:t>
            </w:r>
            <w:r>
              <w:rPr>
                <w:rFonts w:hint="eastAsia"/>
                <w:szCs w:val="21"/>
              </w:rPr>
              <w:t>2020.6</w:t>
            </w:r>
            <w:r>
              <w:rPr>
                <w:rFonts w:hint="eastAsia"/>
                <w:szCs w:val="21"/>
              </w:rPr>
              <w:tab/>
            </w:r>
            <w:r>
              <w:rPr>
                <w:rFonts w:hint="eastAsia"/>
                <w:szCs w:val="21"/>
                <w:lang w:eastAsia="zh-CN"/>
              </w:rPr>
              <w:t>，</w:t>
            </w:r>
            <w:r>
              <w:rPr>
                <w:rFonts w:hint="eastAsia"/>
                <w:szCs w:val="21"/>
              </w:rPr>
              <w:t>独著</w:t>
            </w:r>
            <w:r>
              <w:rPr>
                <w:rFonts w:hint="eastAsia"/>
                <w:szCs w:val="21"/>
                <w:lang w:eastAsia="zh-CN"/>
              </w:rPr>
              <w:t>；</w:t>
            </w:r>
            <w:r>
              <w:rPr>
                <w:rFonts w:hint="eastAsia"/>
                <w:szCs w:val="21"/>
              </w:rPr>
              <w:t>13</w:t>
            </w:r>
            <w:r>
              <w:rPr>
                <w:rFonts w:hint="eastAsia"/>
                <w:szCs w:val="21"/>
                <w:lang w:eastAsia="zh-CN"/>
              </w:rPr>
              <w:t>、</w:t>
            </w:r>
            <w:r>
              <w:rPr>
                <w:rFonts w:hint="eastAsia"/>
                <w:szCs w:val="21"/>
              </w:rPr>
              <w:t>课程思政视域下的高职院校教学改革探析——以“现代物流基础”课程教学设计与实施为例</w:t>
            </w:r>
            <w:r>
              <w:rPr>
                <w:rFonts w:hint="eastAsia"/>
                <w:szCs w:val="21"/>
                <w:lang w:eastAsia="zh-CN"/>
              </w:rPr>
              <w:t>，</w:t>
            </w:r>
            <w:r>
              <w:rPr>
                <w:rFonts w:hint="eastAsia"/>
                <w:szCs w:val="21"/>
              </w:rPr>
              <w:t>改革与开放</w:t>
            </w:r>
            <w:r>
              <w:rPr>
                <w:rFonts w:hint="eastAsia"/>
                <w:szCs w:val="21"/>
                <w:lang w:eastAsia="zh-CN"/>
              </w:rPr>
              <w:t>，</w:t>
            </w:r>
            <w:r>
              <w:rPr>
                <w:rFonts w:hint="eastAsia"/>
                <w:szCs w:val="21"/>
              </w:rPr>
              <w:t>2020.8</w:t>
            </w:r>
            <w:r>
              <w:rPr>
                <w:rFonts w:hint="eastAsia"/>
                <w:szCs w:val="21"/>
                <w:lang w:eastAsia="zh-CN"/>
              </w:rPr>
              <w:t>，</w:t>
            </w:r>
            <w:r>
              <w:rPr>
                <w:rFonts w:hint="eastAsia"/>
                <w:szCs w:val="21"/>
              </w:rPr>
              <w:t>独著</w:t>
            </w:r>
            <w:r>
              <w:rPr>
                <w:rFonts w:hint="eastAsia"/>
                <w:szCs w:val="21"/>
                <w:lang w:eastAsia="zh-CN"/>
              </w:rPr>
              <w:t>。</w:t>
            </w:r>
          </w:p>
          <w:p>
            <w:pPr>
              <w:adjustRightInd w:val="0"/>
              <w:snapToGrid w:val="0"/>
              <w:rPr>
                <w:rFonts w:hint="eastAsia" w:ascii="宋体" w:hAnsi="宋体" w:eastAsia="宋体"/>
                <w:szCs w:val="21"/>
                <w:lang w:eastAsia="zh-CN"/>
              </w:rPr>
            </w:pPr>
            <w:r>
              <w:rPr>
                <w:rFonts w:hint="eastAsia" w:ascii="黑体" w:eastAsia="黑体"/>
                <w:b/>
                <w:szCs w:val="21"/>
              </w:rPr>
              <w:t>著作</w:t>
            </w:r>
            <w:r>
              <w:rPr>
                <w:rFonts w:hint="eastAsia" w:ascii="黑体" w:eastAsia="黑体"/>
                <w:b/>
                <w:szCs w:val="21"/>
                <w:lang w:val="en-US" w:eastAsia="zh-CN"/>
              </w:rPr>
              <w:t>(代表作)</w:t>
            </w:r>
            <w:r>
              <w:rPr>
                <w:rFonts w:hint="eastAsia" w:ascii="黑体" w:eastAsia="黑体"/>
                <w:b/>
                <w:szCs w:val="21"/>
              </w:rPr>
              <w:t>：</w:t>
            </w:r>
            <w:r>
              <w:rPr>
                <w:rFonts w:hint="eastAsia" w:ascii="宋体" w:hAnsi="宋体"/>
                <w:szCs w:val="21"/>
              </w:rPr>
              <w:t>《高职物流专业教育教学改革探索研究》</w:t>
            </w:r>
            <w:r>
              <w:rPr>
                <w:rFonts w:hint="eastAsia" w:ascii="宋体" w:hAnsi="宋体"/>
                <w:szCs w:val="21"/>
                <w:lang w:eastAsia="zh-CN"/>
              </w:rPr>
              <w:t>，</w:t>
            </w:r>
            <w:r>
              <w:rPr>
                <w:rFonts w:hint="eastAsia" w:ascii="宋体" w:hAnsi="宋体"/>
                <w:szCs w:val="21"/>
              </w:rPr>
              <w:t>201</w:t>
            </w:r>
            <w:r>
              <w:rPr>
                <w:rFonts w:hint="eastAsia" w:ascii="宋体" w:hAnsi="宋体"/>
                <w:szCs w:val="21"/>
                <w:lang w:val="en-US" w:eastAsia="zh-CN"/>
              </w:rPr>
              <w:t>8.</w:t>
            </w:r>
            <w:r>
              <w:rPr>
                <w:rFonts w:hint="eastAsia" w:ascii="宋体" w:hAnsi="宋体"/>
                <w:szCs w:val="21"/>
              </w:rPr>
              <w:t>9</w:t>
            </w:r>
            <w:r>
              <w:rPr>
                <w:rFonts w:hint="eastAsia" w:ascii="宋体" w:hAnsi="宋体"/>
                <w:szCs w:val="21"/>
                <w:lang w:eastAsia="zh-CN"/>
              </w:rPr>
              <w:t>，</w:t>
            </w:r>
            <w:r>
              <w:rPr>
                <w:rFonts w:hint="eastAsia" w:ascii="宋体" w:hAnsi="宋体"/>
                <w:szCs w:val="21"/>
              </w:rPr>
              <w:t>独著</w:t>
            </w:r>
            <w:r>
              <w:rPr>
                <w:rFonts w:hint="eastAsia" w:ascii="宋体" w:hAnsi="宋体"/>
                <w:szCs w:val="21"/>
                <w:lang w:eastAsia="zh-CN"/>
              </w:rPr>
              <w:t>；</w:t>
            </w:r>
          </w:p>
          <w:p>
            <w:pPr>
              <w:spacing w:line="280" w:lineRule="exact"/>
              <w:rPr>
                <w:rFonts w:hint="eastAsia" w:eastAsia="宋体"/>
                <w:szCs w:val="21"/>
                <w:lang w:eastAsia="zh-CN"/>
              </w:rPr>
            </w:pPr>
            <w:r>
              <w:rPr>
                <w:rFonts w:hint="eastAsia" w:ascii="宋体" w:hAnsi="宋体"/>
                <w:b/>
                <w:szCs w:val="21"/>
              </w:rPr>
              <w:t>教材：</w:t>
            </w:r>
            <w:r>
              <w:rPr>
                <w:rFonts w:ascii="宋体" w:hAnsi="宋体"/>
                <w:szCs w:val="21"/>
              </w:rPr>
              <w:t>《仓储管理实务》</w:t>
            </w:r>
            <w:r>
              <w:rPr>
                <w:rFonts w:hint="eastAsia" w:ascii="宋体" w:hAnsi="宋体"/>
                <w:szCs w:val="21"/>
              </w:rPr>
              <w:t>华东师范大学出版社</w:t>
            </w:r>
            <w:r>
              <w:rPr>
                <w:rFonts w:hint="eastAsia" w:ascii="宋体" w:hAnsi="宋体"/>
                <w:szCs w:val="21"/>
                <w:lang w:eastAsia="zh-CN"/>
              </w:rPr>
              <w:t>，</w:t>
            </w:r>
            <w:r>
              <w:rPr>
                <w:rFonts w:hint="eastAsia" w:ascii="宋体" w:hAnsi="宋体"/>
                <w:szCs w:val="21"/>
              </w:rPr>
              <w:t>2014</w:t>
            </w:r>
            <w:r>
              <w:rPr>
                <w:rFonts w:hint="eastAsia" w:ascii="宋体" w:hAnsi="宋体"/>
                <w:szCs w:val="21"/>
                <w:lang w:val="en-US" w:eastAsia="zh-CN"/>
              </w:rPr>
              <w:t>.</w:t>
            </w:r>
            <w:r>
              <w:rPr>
                <w:rFonts w:hint="eastAsia" w:ascii="宋体" w:hAnsi="宋体"/>
                <w:szCs w:val="21"/>
              </w:rPr>
              <w:t>8</w:t>
            </w:r>
            <w:r>
              <w:rPr>
                <w:rFonts w:hint="eastAsia" w:ascii="宋体" w:hAnsi="宋体"/>
                <w:szCs w:val="21"/>
                <w:lang w:eastAsia="zh-CN"/>
              </w:rPr>
              <w:t>，</w:t>
            </w:r>
            <w:r>
              <w:rPr>
                <w:rFonts w:hint="eastAsia" w:ascii="宋体" w:hAnsi="宋体"/>
                <w:szCs w:val="21"/>
                <w:lang w:val="en-US" w:eastAsia="zh-CN"/>
              </w:rPr>
              <w:t>副</w:t>
            </w:r>
            <w:r>
              <w:rPr>
                <w:rFonts w:ascii="宋体" w:hAnsi="宋体"/>
                <w:szCs w:val="21"/>
              </w:rPr>
              <w:t>主编</w:t>
            </w:r>
            <w:r>
              <w:rPr>
                <w:rFonts w:hint="eastAsia" w:ascii="宋体" w:hAnsi="宋体"/>
                <w:szCs w:val="21"/>
                <w:lang w:eastAsia="zh-CN"/>
              </w:rPr>
              <w:t>。</w:t>
            </w: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2015</w:t>
            </w:r>
            <w:r>
              <w:rPr>
                <w:szCs w:val="21"/>
              </w:rPr>
              <w:t>年度</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2016</w:t>
            </w:r>
            <w:r>
              <w:rPr>
                <w:szCs w:val="21"/>
              </w:rPr>
              <w:t>年度</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2017</w:t>
            </w:r>
            <w:r>
              <w:rPr>
                <w:szCs w:val="21"/>
              </w:rPr>
              <w:t>年度</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2018</w:t>
            </w:r>
            <w:r>
              <w:rPr>
                <w:szCs w:val="21"/>
              </w:rPr>
              <w:t>年度</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2019</w:t>
            </w:r>
            <w:r>
              <w:rPr>
                <w:szCs w:val="21"/>
              </w:rPr>
              <w:t>年度</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14"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90" w:type="dxa"/>
            <w:gridSpan w:val="13"/>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1234" w:type="dxa"/>
            <w:vMerge w:val="continue"/>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jc w:val="center"/>
        </w:trPr>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eastAsia="宋体"/>
                <w:szCs w:val="21"/>
                <w:lang w:val="en-US" w:eastAsia="zh-CN"/>
              </w:rPr>
            </w:pPr>
            <w:r>
              <w:rPr>
                <w:rFonts w:hint="eastAsia"/>
                <w:szCs w:val="21"/>
                <w:lang w:val="en-US" w:eastAsia="zh-CN"/>
              </w:rPr>
              <w:t>优秀</w:t>
            </w:r>
          </w:p>
        </w:tc>
        <w:tc>
          <w:tcPr>
            <w:tcW w:w="135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优秀</w:t>
            </w:r>
          </w:p>
        </w:tc>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优秀</w:t>
            </w:r>
          </w:p>
        </w:tc>
        <w:tc>
          <w:tcPr>
            <w:tcW w:w="135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优秀</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szCs w:val="21"/>
              </w:rPr>
            </w:pPr>
            <w:r>
              <w:rPr>
                <w:rFonts w:hint="eastAsia"/>
                <w:szCs w:val="21"/>
                <w:lang w:val="en-US" w:eastAsia="zh-CN"/>
              </w:rPr>
              <w:t>优秀</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14" w:type="dxa"/>
            <w:vMerge w:val="continue"/>
            <w:tcBorders>
              <w:left w:val="single" w:color="auto" w:sz="4" w:space="0"/>
              <w:right w:val="single" w:color="auto" w:sz="4" w:space="0"/>
            </w:tcBorders>
            <w:noWrap w:val="0"/>
            <w:vAlign w:val="center"/>
          </w:tcPr>
          <w:p>
            <w:pPr>
              <w:spacing w:line="280" w:lineRule="exact"/>
              <w:rPr>
                <w:szCs w:val="21"/>
              </w:rPr>
            </w:pPr>
          </w:p>
        </w:tc>
        <w:tc>
          <w:tcPr>
            <w:tcW w:w="12490" w:type="dxa"/>
            <w:gridSpan w:val="13"/>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23" w:hRule="atLeast"/>
          <w:jc w:val="center"/>
        </w:trPr>
        <w:tc>
          <w:tcPr>
            <w:tcW w:w="6776" w:type="dxa"/>
            <w:gridSpan w:val="9"/>
            <w:tcBorders>
              <w:top w:val="single" w:color="auto" w:sz="4" w:space="0"/>
              <w:left w:val="single" w:color="auto" w:sz="4" w:space="0"/>
              <w:right w:val="single" w:color="auto" w:sz="4" w:space="0"/>
            </w:tcBorders>
            <w:noWrap w:val="0"/>
            <w:vAlign w:val="center"/>
          </w:tcPr>
          <w:p>
            <w:pPr>
              <w:widowControl/>
              <w:spacing w:line="280" w:lineRule="exact"/>
              <w:jc w:val="center"/>
              <w:rPr>
                <w:szCs w:val="21"/>
              </w:rPr>
            </w:pPr>
            <w:r>
              <w:rPr>
                <w:szCs w:val="21"/>
              </w:rPr>
              <w:t>工作经历与任现职以来继续教育情况</w:t>
            </w:r>
          </w:p>
        </w:tc>
        <w:tc>
          <w:tcPr>
            <w:tcW w:w="722" w:type="dxa"/>
            <w:vMerge w:val="continue"/>
            <w:tcBorders>
              <w:left w:val="single" w:color="auto" w:sz="4" w:space="0"/>
              <w:right w:val="single" w:color="auto" w:sz="4" w:space="0"/>
            </w:tcBorders>
            <w:noWrap w:val="0"/>
            <w:vAlign w:val="center"/>
          </w:tcPr>
          <w:p>
            <w:pPr>
              <w:spacing w:line="280" w:lineRule="exact"/>
              <w:rPr>
                <w:szCs w:val="21"/>
              </w:rPr>
            </w:pPr>
          </w:p>
        </w:tc>
        <w:tc>
          <w:tcPr>
            <w:tcW w:w="1114" w:type="dxa"/>
            <w:vMerge w:val="continue"/>
            <w:tcBorders>
              <w:left w:val="single" w:color="auto" w:sz="4" w:space="0"/>
              <w:right w:val="single" w:color="auto" w:sz="4" w:space="0"/>
            </w:tcBorders>
            <w:noWrap w:val="0"/>
            <w:vAlign w:val="center"/>
          </w:tcPr>
          <w:p>
            <w:pPr>
              <w:spacing w:line="280" w:lineRule="exact"/>
              <w:rPr>
                <w:szCs w:val="21"/>
              </w:rPr>
            </w:pPr>
          </w:p>
        </w:tc>
        <w:tc>
          <w:tcPr>
            <w:tcW w:w="12490" w:type="dxa"/>
            <w:gridSpan w:val="13"/>
            <w:vMerge w:val="continue"/>
            <w:tcBorders>
              <w:left w:val="single" w:color="auto" w:sz="4" w:space="0"/>
              <w:right w:val="single" w:color="auto" w:sz="4" w:space="0"/>
            </w:tcBorders>
            <w:noWrap w:val="0"/>
            <w:vAlign w:val="top"/>
          </w:tcPr>
          <w:p>
            <w:pPr>
              <w:spacing w:line="280" w:lineRule="exact"/>
              <w:rPr>
                <w:szCs w:val="21"/>
              </w:rPr>
            </w:pPr>
          </w:p>
        </w:tc>
        <w:tc>
          <w:tcPr>
            <w:tcW w:w="1234" w:type="dxa"/>
            <w:vMerge w:val="continue"/>
            <w:tcBorders>
              <w:left w:val="single" w:color="auto" w:sz="4" w:space="0"/>
              <w:right w:val="single" w:color="auto" w:sz="4" w:space="0"/>
            </w:tcBorders>
            <w:noWrap w:val="0"/>
            <w:vAlign w:val="top"/>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jc w:val="center"/>
        </w:trPr>
        <w:tc>
          <w:tcPr>
            <w:tcW w:w="6776" w:type="dxa"/>
            <w:gridSpan w:val="9"/>
            <w:vMerge w:val="restart"/>
            <w:tcBorders>
              <w:left w:val="single" w:color="auto" w:sz="4" w:space="0"/>
              <w:bottom w:val="single" w:color="auto" w:sz="4" w:space="0"/>
              <w:right w:val="single" w:color="auto" w:sz="4" w:space="0"/>
            </w:tcBorders>
            <w:noWrap w:val="0"/>
            <w:vAlign w:val="center"/>
          </w:tcPr>
          <w:p>
            <w:pPr>
              <w:spacing w:line="280" w:lineRule="exact"/>
              <w:rPr>
                <w:rFonts w:hint="eastAsia"/>
                <w:b/>
                <w:bCs/>
                <w:szCs w:val="21"/>
                <w:lang w:val="en-US" w:eastAsia="zh-CN"/>
              </w:rPr>
            </w:pPr>
            <w:r>
              <w:rPr>
                <w:rFonts w:hint="eastAsia"/>
                <w:b/>
                <w:bCs/>
                <w:szCs w:val="21"/>
                <w:lang w:val="en-US" w:eastAsia="zh-CN"/>
              </w:rPr>
              <w:t>工作经历：</w:t>
            </w:r>
          </w:p>
          <w:p>
            <w:pPr>
              <w:spacing w:line="280" w:lineRule="exact"/>
              <w:rPr>
                <w:rFonts w:hint="default"/>
                <w:b w:val="0"/>
                <w:bCs w:val="0"/>
                <w:szCs w:val="21"/>
                <w:lang w:val="en-US" w:eastAsia="zh-CN"/>
              </w:rPr>
            </w:pPr>
            <w:r>
              <w:rPr>
                <w:rFonts w:hint="eastAsia"/>
                <w:b w:val="0"/>
                <w:bCs w:val="0"/>
                <w:szCs w:val="21"/>
                <w:lang w:val="en-US" w:eastAsia="zh-CN"/>
              </w:rPr>
              <w:t xml:space="preserve">2009.9-20013.8   </w:t>
            </w:r>
            <w:r>
              <w:rPr>
                <w:rFonts w:hint="eastAsia" w:ascii="宋体"/>
                <w:snapToGrid w:val="0"/>
                <w:kern w:val="0"/>
                <w:szCs w:val="21"/>
              </w:rPr>
              <w:t>湖南商务职业技术学院经贸系专任教师</w:t>
            </w:r>
          </w:p>
          <w:p>
            <w:pPr>
              <w:spacing w:line="280" w:lineRule="exact"/>
              <w:rPr>
                <w:rFonts w:hint="default" w:eastAsia="宋体"/>
                <w:szCs w:val="21"/>
                <w:lang w:val="en-US" w:eastAsia="zh-CN"/>
              </w:rPr>
            </w:pPr>
            <w:r>
              <w:rPr>
                <w:rFonts w:hint="eastAsia"/>
                <w:b w:val="0"/>
                <w:bCs w:val="0"/>
                <w:szCs w:val="21"/>
                <w:lang w:val="en-US" w:eastAsia="zh-CN"/>
              </w:rPr>
              <w:t xml:space="preserve">2013.9-20018.12  </w:t>
            </w:r>
            <w:r>
              <w:rPr>
                <w:rFonts w:hint="eastAsia" w:ascii="宋体"/>
                <w:snapToGrid w:val="0"/>
                <w:kern w:val="0"/>
                <w:szCs w:val="21"/>
              </w:rPr>
              <w:t>湖南商务职业技术学院</w:t>
            </w:r>
            <w:r>
              <w:rPr>
                <w:rFonts w:hint="eastAsia" w:ascii="宋体"/>
                <w:snapToGrid w:val="0"/>
                <w:kern w:val="0"/>
                <w:szCs w:val="21"/>
                <w:lang w:val="en-US" w:eastAsia="zh-CN"/>
              </w:rPr>
              <w:t>经济贸易学院物流管理教研室主任</w:t>
            </w:r>
          </w:p>
          <w:p>
            <w:pPr>
              <w:spacing w:line="280" w:lineRule="exact"/>
              <w:rPr>
                <w:rFonts w:hint="eastAsia" w:ascii="宋体"/>
                <w:snapToGrid w:val="0"/>
                <w:kern w:val="0"/>
                <w:szCs w:val="21"/>
              </w:rPr>
            </w:pPr>
            <w:r>
              <w:rPr>
                <w:rFonts w:hint="eastAsia"/>
                <w:b w:val="0"/>
                <w:bCs w:val="0"/>
                <w:szCs w:val="21"/>
                <w:lang w:val="en-US" w:eastAsia="zh-CN"/>
              </w:rPr>
              <w:t xml:space="preserve">2019.1-今       </w:t>
            </w:r>
            <w:r>
              <w:rPr>
                <w:rFonts w:hint="eastAsia" w:ascii="宋体"/>
                <w:snapToGrid w:val="0"/>
                <w:kern w:val="0"/>
                <w:szCs w:val="21"/>
              </w:rPr>
              <w:t>湖南商务职业技术学院经贸系专任教师</w:t>
            </w:r>
          </w:p>
          <w:p>
            <w:pPr>
              <w:snapToGrid w:val="0"/>
              <w:spacing w:line="280" w:lineRule="exact"/>
              <w:rPr>
                <w:rFonts w:hint="eastAsia" w:ascii="宋体"/>
                <w:b/>
                <w:snapToGrid w:val="0"/>
                <w:kern w:val="0"/>
                <w:szCs w:val="21"/>
              </w:rPr>
            </w:pPr>
            <w:r>
              <w:rPr>
                <w:rFonts w:hint="eastAsia" w:hAnsi="宋体"/>
                <w:b/>
                <w:szCs w:val="21"/>
              </w:rPr>
              <w:t>任现职以来继续教育情况</w:t>
            </w:r>
            <w:r>
              <w:rPr>
                <w:rFonts w:hAnsi="宋体"/>
                <w:b/>
                <w:szCs w:val="21"/>
              </w:rPr>
              <w:t>:</w:t>
            </w:r>
          </w:p>
          <w:p>
            <w:pPr>
              <w:spacing w:line="280" w:lineRule="exact"/>
              <w:rPr>
                <w:rFonts w:hint="default"/>
                <w:szCs w:val="21"/>
                <w:lang w:val="en-US"/>
              </w:rPr>
            </w:pPr>
            <w:r>
              <w:rPr>
                <w:rFonts w:hint="default" w:ascii="宋体"/>
                <w:snapToGrid w:val="0"/>
                <w:kern w:val="0"/>
                <w:szCs w:val="21"/>
                <w:lang w:val="en-US" w:eastAsia="zh-CN"/>
              </w:rPr>
              <w:t>2013</w:t>
            </w:r>
            <w:r>
              <w:rPr>
                <w:rFonts w:hint="eastAsia" w:ascii="宋体"/>
                <w:snapToGrid w:val="0"/>
                <w:kern w:val="0"/>
                <w:szCs w:val="21"/>
                <w:lang w:val="en-US" w:eastAsia="zh-CN"/>
              </w:rPr>
              <w:t>.</w:t>
            </w:r>
            <w:r>
              <w:rPr>
                <w:rFonts w:hint="default" w:ascii="宋体"/>
                <w:snapToGrid w:val="0"/>
                <w:kern w:val="0"/>
                <w:szCs w:val="21"/>
                <w:lang w:val="en-US" w:eastAsia="zh-CN"/>
              </w:rPr>
              <w:t>11-2013</w:t>
            </w:r>
            <w:r>
              <w:rPr>
                <w:rFonts w:hint="eastAsia" w:ascii="宋体"/>
                <w:snapToGrid w:val="0"/>
                <w:kern w:val="0"/>
                <w:szCs w:val="21"/>
                <w:lang w:val="en-US" w:eastAsia="zh-CN"/>
              </w:rPr>
              <w:t>.</w:t>
            </w:r>
            <w:r>
              <w:rPr>
                <w:rFonts w:hint="default" w:ascii="宋体"/>
                <w:snapToGrid w:val="0"/>
                <w:kern w:val="0"/>
                <w:szCs w:val="21"/>
                <w:lang w:val="en-US" w:eastAsia="zh-CN"/>
              </w:rPr>
              <w:t>12</w:t>
            </w:r>
            <w:r>
              <w:rPr>
                <w:rFonts w:hint="eastAsia" w:ascii="宋体"/>
                <w:snapToGrid w:val="0"/>
                <w:kern w:val="0"/>
                <w:szCs w:val="21"/>
                <w:lang w:val="en-US" w:eastAsia="zh-CN"/>
              </w:rPr>
              <w:t xml:space="preserve">  （企业顶岗）物流管理专业培训（国培代码：02132001）</w:t>
            </w:r>
          </w:p>
          <w:p>
            <w:pPr>
              <w:spacing w:line="280" w:lineRule="exact"/>
              <w:rPr>
                <w:rFonts w:hint="eastAsia"/>
                <w:szCs w:val="21"/>
                <w:lang w:val="en-US" w:eastAsia="zh-CN"/>
              </w:rPr>
            </w:pPr>
            <w:r>
              <w:rPr>
                <w:rFonts w:hint="eastAsia"/>
                <w:szCs w:val="21"/>
                <w:lang w:val="en-US" w:eastAsia="zh-CN"/>
              </w:rPr>
              <w:t>2014.4.21-2014.4.27 专业技术人员信息化能力提升培训</w:t>
            </w:r>
          </w:p>
          <w:p>
            <w:pPr>
              <w:spacing w:line="280" w:lineRule="exact"/>
              <w:rPr>
                <w:rFonts w:hint="default"/>
                <w:szCs w:val="21"/>
                <w:lang w:val="en-US" w:eastAsia="zh-CN"/>
              </w:rPr>
            </w:pPr>
            <w:r>
              <w:rPr>
                <w:rFonts w:hint="eastAsia"/>
                <w:szCs w:val="21"/>
                <w:lang w:val="en-US" w:eastAsia="zh-CN"/>
              </w:rPr>
              <w:t xml:space="preserve">2015.5.15-2015.5.24 </w:t>
            </w:r>
            <w:r>
              <w:rPr>
                <w:rFonts w:hint="default"/>
                <w:szCs w:val="21"/>
                <w:lang w:val="en-US" w:eastAsia="zh-CN"/>
              </w:rPr>
              <w:t>信息技术在课堂教学中的适切性应用策略</w:t>
            </w:r>
            <w:r>
              <w:rPr>
                <w:rFonts w:hint="eastAsia"/>
                <w:szCs w:val="21"/>
                <w:lang w:val="en-US" w:eastAsia="zh-CN"/>
              </w:rPr>
              <w:t>培训</w:t>
            </w:r>
          </w:p>
          <w:p>
            <w:pPr>
              <w:spacing w:line="280" w:lineRule="exact"/>
              <w:rPr>
                <w:rFonts w:hint="default"/>
                <w:szCs w:val="21"/>
                <w:lang w:val="en-US" w:eastAsia="zh-CN"/>
              </w:rPr>
            </w:pPr>
            <w:r>
              <w:rPr>
                <w:rFonts w:hint="eastAsia"/>
                <w:szCs w:val="21"/>
                <w:lang w:val="en-US" w:eastAsia="zh-CN"/>
              </w:rPr>
              <w:t xml:space="preserve">2016.7.22-2016.7.26 </w:t>
            </w:r>
            <w:r>
              <w:rPr>
                <w:rFonts w:hint="default"/>
                <w:szCs w:val="21"/>
                <w:lang w:val="en-US" w:eastAsia="zh-CN"/>
              </w:rPr>
              <w:t>职业院校混合式教学模式设计与开发高级研究</w:t>
            </w:r>
            <w:r>
              <w:rPr>
                <w:rFonts w:hint="eastAsia"/>
                <w:szCs w:val="21"/>
                <w:lang w:val="en-US" w:eastAsia="zh-CN"/>
              </w:rPr>
              <w:t>培训</w:t>
            </w:r>
          </w:p>
          <w:p>
            <w:pPr>
              <w:spacing w:line="280" w:lineRule="exact"/>
              <w:rPr>
                <w:rFonts w:hint="eastAsia"/>
                <w:szCs w:val="21"/>
                <w:lang w:val="en-US" w:eastAsia="zh-CN"/>
              </w:rPr>
            </w:pPr>
            <w:r>
              <w:rPr>
                <w:rFonts w:hint="eastAsia"/>
                <w:szCs w:val="21"/>
                <w:lang w:val="en-US" w:eastAsia="zh-CN"/>
              </w:rPr>
              <w:t xml:space="preserve">2017.7.11-2017.7.13 </w:t>
            </w:r>
            <w:r>
              <w:rPr>
                <w:rFonts w:hint="default"/>
                <w:szCs w:val="21"/>
                <w:lang w:val="en-US" w:eastAsia="zh-CN"/>
              </w:rPr>
              <w:t>学术论文写作与发表</w:t>
            </w:r>
            <w:r>
              <w:rPr>
                <w:rFonts w:hint="eastAsia"/>
                <w:szCs w:val="21"/>
                <w:lang w:val="en-US" w:eastAsia="zh-CN"/>
              </w:rPr>
              <w:t>培训</w:t>
            </w:r>
          </w:p>
          <w:p>
            <w:pPr>
              <w:spacing w:line="280" w:lineRule="exact"/>
              <w:rPr>
                <w:rFonts w:hint="eastAsia"/>
                <w:szCs w:val="21"/>
                <w:lang w:val="en-US" w:eastAsia="zh-CN"/>
              </w:rPr>
            </w:pPr>
            <w:r>
              <w:rPr>
                <w:rFonts w:hint="eastAsia"/>
                <w:szCs w:val="21"/>
                <w:lang w:val="en-US" w:eastAsia="zh-CN"/>
              </w:rPr>
              <w:t>2017.8.22-2017.8.23 “电商物流与智慧物流”专项职业能力培训</w:t>
            </w:r>
          </w:p>
          <w:p>
            <w:pPr>
              <w:spacing w:line="280" w:lineRule="exact"/>
              <w:rPr>
                <w:rFonts w:hint="eastAsia"/>
                <w:szCs w:val="21"/>
                <w:lang w:val="en-US" w:eastAsia="zh-CN"/>
              </w:rPr>
            </w:pPr>
            <w:r>
              <w:rPr>
                <w:rFonts w:hint="eastAsia"/>
                <w:szCs w:val="21"/>
                <w:lang w:val="en-US" w:eastAsia="zh-CN"/>
              </w:rPr>
              <w:t>2019.6.23-2019.6.27 省高校创新创业骨干教师能力素质提升培训</w:t>
            </w:r>
          </w:p>
          <w:p>
            <w:pPr>
              <w:spacing w:line="280" w:lineRule="exact"/>
              <w:rPr>
                <w:rFonts w:hint="eastAsia"/>
                <w:szCs w:val="21"/>
                <w:lang w:val="en-US" w:eastAsia="zh-CN"/>
              </w:rPr>
            </w:pPr>
            <w:r>
              <w:rPr>
                <w:rFonts w:hint="eastAsia"/>
                <w:szCs w:val="21"/>
                <w:lang w:val="en-US" w:eastAsia="zh-CN"/>
              </w:rPr>
              <w:t>2019.11.5-2.19.11.10 1+X证书制度试点院校教师培训（物流专业）</w:t>
            </w:r>
          </w:p>
          <w:p>
            <w:pPr>
              <w:spacing w:line="280" w:lineRule="exact"/>
              <w:rPr>
                <w:rFonts w:hint="eastAsia"/>
                <w:szCs w:val="21"/>
                <w:lang w:val="en-US" w:eastAsia="zh-CN"/>
              </w:rPr>
            </w:pPr>
            <w:r>
              <w:rPr>
                <w:rFonts w:hint="eastAsia"/>
                <w:szCs w:val="21"/>
                <w:lang w:val="en-US" w:eastAsia="zh-CN"/>
              </w:rPr>
              <w:t>2019.11-2020.2     第三期高校教师教学能力提升与“金课”建设专题</w:t>
            </w:r>
          </w:p>
          <w:p>
            <w:pPr>
              <w:spacing w:line="280" w:lineRule="exact"/>
              <w:ind w:firstLine="1890" w:firstLineChars="900"/>
              <w:rPr>
                <w:rFonts w:hint="default"/>
                <w:szCs w:val="21"/>
                <w:lang w:val="en-US" w:eastAsia="zh-CN"/>
              </w:rPr>
            </w:pPr>
            <w:r>
              <w:rPr>
                <w:rFonts w:hint="eastAsia"/>
                <w:szCs w:val="21"/>
                <w:lang w:val="en-US" w:eastAsia="zh-CN"/>
              </w:rPr>
              <w:t>网络培训</w:t>
            </w:r>
          </w:p>
          <w:p>
            <w:pPr>
              <w:spacing w:line="280" w:lineRule="exact"/>
              <w:rPr>
                <w:szCs w:val="21"/>
              </w:rPr>
            </w:pPr>
          </w:p>
          <w:p>
            <w:pPr>
              <w:spacing w:line="280" w:lineRule="exact"/>
              <w:rPr>
                <w:szCs w:val="21"/>
              </w:rPr>
            </w:pPr>
            <w:r>
              <w:rPr>
                <w:szCs w:val="21"/>
              </w:rPr>
              <w:t xml:space="preserve"> </w:t>
            </w:r>
          </w:p>
          <w:p>
            <w:pPr>
              <w:spacing w:line="280" w:lineRule="exact"/>
              <w:ind w:firstLine="210" w:firstLineChars="100"/>
              <w:rPr>
                <w:szCs w:val="21"/>
              </w:rPr>
            </w:pPr>
            <w:r>
              <w:rPr>
                <w:szCs w:val="21"/>
              </w:rPr>
              <w:t>审核人签名：         人事部门盖章：</w:t>
            </w:r>
          </w:p>
        </w:tc>
        <w:tc>
          <w:tcPr>
            <w:tcW w:w="722" w:type="dxa"/>
            <w:vMerge w:val="continue"/>
            <w:tcBorders>
              <w:left w:val="single" w:color="auto" w:sz="4" w:space="0"/>
              <w:right w:val="single" w:color="auto" w:sz="4" w:space="0"/>
            </w:tcBorders>
            <w:noWrap w:val="0"/>
            <w:vAlign w:val="center"/>
          </w:tcPr>
          <w:p>
            <w:pPr>
              <w:spacing w:line="280" w:lineRule="exact"/>
              <w:jc w:val="center"/>
              <w:rPr>
                <w:szCs w:val="21"/>
              </w:rPr>
            </w:pPr>
          </w:p>
        </w:tc>
        <w:tc>
          <w:tcPr>
            <w:tcW w:w="1114" w:type="dxa"/>
            <w:vMerge w:val="restart"/>
            <w:tcBorders>
              <w:left w:val="single" w:color="auto" w:sz="4" w:space="0"/>
              <w:right w:val="single" w:color="auto" w:sz="4" w:space="0"/>
            </w:tcBorders>
            <w:noWrap w:val="0"/>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2200" w:type="dxa"/>
            <w:gridSpan w:val="2"/>
            <w:tcBorders>
              <w:left w:val="single" w:color="auto" w:sz="4" w:space="0"/>
              <w:bottom w:val="single" w:color="auto" w:sz="4" w:space="0"/>
              <w:right w:val="single" w:color="auto" w:sz="4" w:space="0"/>
            </w:tcBorders>
            <w:noWrap w:val="0"/>
            <w:vAlign w:val="center"/>
          </w:tcPr>
          <w:p>
            <w:pPr>
              <w:spacing w:line="280" w:lineRule="exact"/>
              <w:ind w:left="-85" w:right="-69" w:rightChars="-33"/>
              <w:jc w:val="center"/>
              <w:rPr>
                <w:szCs w:val="21"/>
              </w:rPr>
            </w:pPr>
            <w:r>
              <w:rPr>
                <w:szCs w:val="21"/>
              </w:rPr>
              <w:t>主持研究项目数</w:t>
            </w:r>
          </w:p>
        </w:tc>
        <w:tc>
          <w:tcPr>
            <w:tcW w:w="885" w:type="dxa"/>
            <w:tcBorders>
              <w:left w:val="single" w:color="auto" w:sz="4" w:space="0"/>
              <w:bottom w:val="single" w:color="auto" w:sz="4" w:space="0"/>
              <w:right w:val="single" w:color="auto" w:sz="4" w:space="0"/>
            </w:tcBorders>
            <w:noWrap w:val="0"/>
            <w:vAlign w:val="center"/>
          </w:tcPr>
          <w:p>
            <w:pPr>
              <w:spacing w:line="280" w:lineRule="exact"/>
              <w:ind w:left="180"/>
              <w:jc w:val="center"/>
              <w:rPr>
                <w:rFonts w:hint="eastAsia" w:eastAsia="宋体"/>
                <w:szCs w:val="21"/>
                <w:lang w:val="en-US" w:eastAsia="zh-CN"/>
              </w:rPr>
            </w:pPr>
            <w:r>
              <w:rPr>
                <w:rFonts w:hint="eastAsia"/>
                <w:szCs w:val="21"/>
                <w:lang w:val="en-US" w:eastAsia="zh-CN"/>
              </w:rPr>
              <w:t>2</w:t>
            </w:r>
          </w:p>
        </w:tc>
        <w:tc>
          <w:tcPr>
            <w:tcW w:w="1083"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参与研究</w:t>
            </w:r>
          </w:p>
          <w:p>
            <w:pPr>
              <w:spacing w:line="280" w:lineRule="exact"/>
              <w:jc w:val="center"/>
              <w:rPr>
                <w:szCs w:val="21"/>
              </w:rPr>
            </w:pPr>
            <w:r>
              <w:rPr>
                <w:szCs w:val="21"/>
              </w:rPr>
              <w:t>项目数</w:t>
            </w:r>
          </w:p>
        </w:tc>
        <w:tc>
          <w:tcPr>
            <w:tcW w:w="1395" w:type="dxa"/>
            <w:tcBorders>
              <w:left w:val="single" w:color="auto" w:sz="4" w:space="0"/>
              <w:bottom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4</w:t>
            </w:r>
          </w:p>
        </w:tc>
        <w:tc>
          <w:tcPr>
            <w:tcW w:w="1204" w:type="dxa"/>
            <w:tcBorders>
              <w:left w:val="single" w:color="auto" w:sz="4" w:space="0"/>
              <w:bottom w:val="single" w:color="auto" w:sz="4" w:space="0"/>
              <w:right w:val="single" w:color="auto" w:sz="4" w:space="0"/>
            </w:tcBorders>
            <w:noWrap w:val="0"/>
            <w:vAlign w:val="center"/>
          </w:tcPr>
          <w:p>
            <w:pPr>
              <w:spacing w:line="280" w:lineRule="exact"/>
              <w:jc w:val="center"/>
              <w:rPr>
                <w:szCs w:val="21"/>
              </w:rPr>
            </w:pPr>
            <w:r>
              <w:rPr>
                <w:szCs w:val="21"/>
              </w:rPr>
              <w:t>科研经费</w:t>
            </w:r>
          </w:p>
        </w:tc>
        <w:tc>
          <w:tcPr>
            <w:tcW w:w="1344" w:type="dxa"/>
            <w:tcBorders>
              <w:left w:val="single" w:color="auto" w:sz="4" w:space="0"/>
              <w:bottom w:val="single" w:color="auto" w:sz="4" w:space="0"/>
              <w:right w:val="single" w:color="auto" w:sz="4" w:space="0"/>
            </w:tcBorders>
            <w:noWrap w:val="0"/>
            <w:vAlign w:val="center"/>
          </w:tcPr>
          <w:p>
            <w:pPr>
              <w:spacing w:line="280" w:lineRule="exact"/>
              <w:jc w:val="center"/>
              <w:rPr>
                <w:rFonts w:hint="default" w:eastAsia="宋体"/>
                <w:szCs w:val="21"/>
                <w:lang w:val="en-US" w:eastAsia="zh-CN"/>
              </w:rPr>
            </w:pPr>
            <w:r>
              <w:rPr>
                <w:rFonts w:hint="eastAsia"/>
                <w:szCs w:val="21"/>
                <w:lang w:val="en-US" w:eastAsia="zh-CN"/>
              </w:rPr>
              <w:t>4万</w:t>
            </w:r>
          </w:p>
        </w:tc>
        <w:tc>
          <w:tcPr>
            <w:tcW w:w="1658" w:type="dxa"/>
            <w:tcBorders>
              <w:left w:val="single" w:color="auto" w:sz="4" w:space="0"/>
              <w:bottom w:val="single" w:color="auto" w:sz="4" w:space="0"/>
              <w:right w:val="single" w:color="auto" w:sz="4" w:space="0"/>
            </w:tcBorders>
            <w:noWrap w:val="0"/>
            <w:vAlign w:val="center"/>
          </w:tcPr>
          <w:p>
            <w:pPr>
              <w:spacing w:line="280" w:lineRule="exact"/>
              <w:rPr>
                <w:szCs w:val="21"/>
              </w:rPr>
            </w:pPr>
            <w:r>
              <w:rPr>
                <w:szCs w:val="21"/>
              </w:rPr>
              <w:t>技术开发或社会服务项目数</w:t>
            </w:r>
          </w:p>
        </w:tc>
        <w:tc>
          <w:tcPr>
            <w:tcW w:w="1331" w:type="dxa"/>
            <w:gridSpan w:val="2"/>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633" w:type="dxa"/>
            <w:tcBorders>
              <w:left w:val="single" w:color="auto" w:sz="4" w:space="0"/>
              <w:bottom w:val="single" w:color="auto" w:sz="4" w:space="0"/>
              <w:right w:val="single" w:color="auto" w:sz="4" w:space="0"/>
            </w:tcBorders>
            <w:noWrap w:val="0"/>
            <w:vAlign w:val="center"/>
          </w:tcPr>
          <w:p>
            <w:pPr>
              <w:spacing w:line="280" w:lineRule="exact"/>
              <w:ind w:left="-69" w:leftChars="-33" w:right="-82" w:rightChars="-39"/>
              <w:rPr>
                <w:szCs w:val="21"/>
              </w:rPr>
            </w:pPr>
            <w:r>
              <w:rPr>
                <w:szCs w:val="21"/>
              </w:rPr>
              <w:t>专利</w:t>
            </w:r>
          </w:p>
          <w:p>
            <w:pPr>
              <w:spacing w:line="280" w:lineRule="exact"/>
              <w:ind w:left="-69" w:leftChars="-33" w:right="-82" w:rightChars="-39"/>
              <w:jc w:val="center"/>
              <w:rPr>
                <w:szCs w:val="21"/>
              </w:rPr>
            </w:pPr>
            <w:r>
              <w:rPr>
                <w:szCs w:val="21"/>
              </w:rPr>
              <w:t>数</w:t>
            </w:r>
          </w:p>
        </w:tc>
        <w:tc>
          <w:tcPr>
            <w:tcW w:w="757" w:type="dxa"/>
            <w:gridSpan w:val="2"/>
            <w:tcBorders>
              <w:left w:val="single" w:color="auto" w:sz="4" w:space="0"/>
              <w:bottom w:val="single" w:color="auto" w:sz="4" w:space="0"/>
              <w:right w:val="single" w:color="auto" w:sz="4" w:space="0"/>
            </w:tcBorders>
            <w:noWrap w:val="0"/>
            <w:vAlign w:val="center"/>
          </w:tcPr>
          <w:p>
            <w:pPr>
              <w:spacing w:line="280" w:lineRule="exact"/>
              <w:jc w:val="center"/>
              <w:rPr>
                <w:rFonts w:hint="eastAsia" w:eastAsia="宋体"/>
                <w:szCs w:val="21"/>
                <w:lang w:val="en-US" w:eastAsia="zh-CN"/>
              </w:rPr>
            </w:pPr>
            <w:r>
              <w:rPr>
                <w:rFonts w:hint="eastAsia"/>
                <w:szCs w:val="21"/>
                <w:lang w:val="en-US" w:eastAsia="zh-CN"/>
              </w:rPr>
              <w:t>3</w:t>
            </w:r>
          </w:p>
        </w:tc>
        <w:tc>
          <w:tcPr>
            <w:tcW w:w="1234" w:type="dxa"/>
            <w:tcBorders>
              <w:left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8" w:hRule="atLeast"/>
          <w:jc w:val="center"/>
        </w:trPr>
        <w:tc>
          <w:tcPr>
            <w:tcW w:w="6776" w:type="dxa"/>
            <w:gridSpan w:val="9"/>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c>
          <w:tcPr>
            <w:tcW w:w="722"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114" w:type="dxa"/>
            <w:vMerge w:val="continue"/>
            <w:tcBorders>
              <w:left w:val="single" w:color="auto" w:sz="4" w:space="0"/>
              <w:bottom w:val="single" w:color="auto" w:sz="4" w:space="0"/>
              <w:right w:val="single" w:color="auto" w:sz="4" w:space="0"/>
            </w:tcBorders>
            <w:noWrap w:val="0"/>
            <w:vAlign w:val="center"/>
          </w:tcPr>
          <w:p>
            <w:pPr>
              <w:spacing w:line="280" w:lineRule="exact"/>
              <w:jc w:val="center"/>
              <w:rPr>
                <w:szCs w:val="21"/>
              </w:rPr>
            </w:pPr>
          </w:p>
        </w:tc>
        <w:tc>
          <w:tcPr>
            <w:tcW w:w="12490" w:type="dxa"/>
            <w:gridSpan w:val="13"/>
            <w:tcBorders>
              <w:left w:val="single" w:color="auto" w:sz="4" w:space="0"/>
              <w:bottom w:val="single" w:color="auto" w:sz="4" w:space="0"/>
              <w:right w:val="single" w:color="auto" w:sz="4" w:space="0"/>
            </w:tcBorders>
            <w:noWrap w:val="0"/>
            <w:vAlign w:val="center"/>
          </w:tcPr>
          <w:p>
            <w:pPr>
              <w:spacing w:line="280" w:lineRule="exact"/>
              <w:rPr>
                <w:rFonts w:hint="eastAsia"/>
                <w:szCs w:val="21"/>
                <w:lang w:eastAsia="zh-CN"/>
              </w:rPr>
            </w:pPr>
            <w:r>
              <w:rPr>
                <w:rFonts w:hint="eastAsia"/>
                <w:b/>
                <w:bCs/>
                <w:szCs w:val="21"/>
                <w:lang w:val="en-US" w:eastAsia="zh-CN"/>
              </w:rPr>
              <w:t>主持</w:t>
            </w:r>
            <w:r>
              <w:rPr>
                <w:rFonts w:hint="eastAsia"/>
                <w:szCs w:val="21"/>
                <w:lang w:val="en-US" w:eastAsia="zh-CN"/>
              </w:rPr>
              <w:t>：1、</w:t>
            </w:r>
            <w:r>
              <w:rPr>
                <w:rFonts w:hint="eastAsia"/>
                <w:szCs w:val="21"/>
              </w:rPr>
              <w:t>第三方物流视角下物流金融服务模式仓单质押发展研究</w:t>
            </w:r>
            <w:r>
              <w:rPr>
                <w:rFonts w:hint="eastAsia"/>
                <w:szCs w:val="21"/>
                <w:lang w:eastAsia="zh-CN"/>
              </w:rPr>
              <w:t>，</w:t>
            </w:r>
            <w:r>
              <w:rPr>
                <w:rFonts w:hint="eastAsia"/>
                <w:szCs w:val="21"/>
              </w:rPr>
              <w:t>湖南省教育厅</w:t>
            </w:r>
            <w:r>
              <w:rPr>
                <w:rFonts w:hint="eastAsia"/>
                <w:szCs w:val="21"/>
                <w:lang w:eastAsia="zh-CN"/>
              </w:rPr>
              <w:t>，</w:t>
            </w:r>
            <w:r>
              <w:rPr>
                <w:rFonts w:hint="eastAsia"/>
                <w:szCs w:val="21"/>
              </w:rPr>
              <w:t>15C0754</w:t>
            </w:r>
            <w:r>
              <w:rPr>
                <w:rFonts w:hint="eastAsia"/>
                <w:szCs w:val="21"/>
                <w:lang w:eastAsia="zh-CN"/>
              </w:rPr>
              <w:t>，</w:t>
            </w:r>
            <w:r>
              <w:rPr>
                <w:rFonts w:hint="eastAsia"/>
                <w:szCs w:val="21"/>
                <w:lang w:val="en-US" w:eastAsia="zh-CN"/>
              </w:rPr>
              <w:t>已</w:t>
            </w:r>
            <w:r>
              <w:rPr>
                <w:rFonts w:hint="eastAsia"/>
                <w:szCs w:val="21"/>
              </w:rPr>
              <w:t>结题</w:t>
            </w:r>
            <w:r>
              <w:rPr>
                <w:rFonts w:hint="eastAsia"/>
                <w:szCs w:val="21"/>
                <w:lang w:eastAsia="zh-CN"/>
              </w:rPr>
              <w:t>；</w:t>
            </w:r>
            <w:r>
              <w:rPr>
                <w:rFonts w:hint="eastAsia"/>
                <w:szCs w:val="21"/>
              </w:rPr>
              <w:t>2</w:t>
            </w:r>
            <w:r>
              <w:rPr>
                <w:rFonts w:hint="eastAsia"/>
                <w:szCs w:val="21"/>
                <w:lang w:eastAsia="zh-CN"/>
              </w:rPr>
              <w:t>、</w:t>
            </w:r>
            <w:r>
              <w:rPr>
                <w:rFonts w:hint="eastAsia"/>
                <w:szCs w:val="21"/>
              </w:rPr>
              <w:t>基于KAQ目标导向的物流实践教学改革实证研究</w:t>
            </w:r>
            <w:r>
              <w:rPr>
                <w:rFonts w:hint="eastAsia"/>
                <w:szCs w:val="21"/>
                <w:lang w:eastAsia="zh-CN"/>
              </w:rPr>
              <w:t>，</w:t>
            </w:r>
            <w:r>
              <w:rPr>
                <w:rFonts w:hint="eastAsia"/>
                <w:szCs w:val="21"/>
              </w:rPr>
              <w:t>湖南商务职业技术学院</w:t>
            </w:r>
            <w:r>
              <w:rPr>
                <w:rFonts w:hint="eastAsia"/>
                <w:szCs w:val="21"/>
                <w:lang w:eastAsia="zh-CN"/>
              </w:rPr>
              <w:t>，</w:t>
            </w:r>
            <w:r>
              <w:rPr>
                <w:rFonts w:hint="eastAsia"/>
                <w:szCs w:val="21"/>
              </w:rPr>
              <w:t>17SWYB03</w:t>
            </w:r>
            <w:r>
              <w:rPr>
                <w:rFonts w:hint="eastAsia"/>
                <w:szCs w:val="21"/>
                <w:lang w:eastAsia="zh-CN"/>
              </w:rPr>
              <w:t>，</w:t>
            </w:r>
            <w:r>
              <w:rPr>
                <w:rFonts w:hint="eastAsia"/>
                <w:szCs w:val="21"/>
                <w:lang w:val="en-US" w:eastAsia="zh-CN"/>
              </w:rPr>
              <w:t>已</w:t>
            </w:r>
            <w:r>
              <w:rPr>
                <w:rFonts w:hint="eastAsia"/>
                <w:szCs w:val="21"/>
              </w:rPr>
              <w:t>结题</w:t>
            </w:r>
            <w:r>
              <w:rPr>
                <w:rFonts w:hint="eastAsia"/>
                <w:szCs w:val="21"/>
                <w:lang w:eastAsia="zh-CN"/>
              </w:rPr>
              <w:t>；</w:t>
            </w:r>
            <w:r>
              <w:rPr>
                <w:rFonts w:hint="eastAsia"/>
                <w:szCs w:val="21"/>
              </w:rPr>
              <w:t>3</w:t>
            </w:r>
            <w:r>
              <w:rPr>
                <w:rFonts w:hint="eastAsia"/>
                <w:szCs w:val="21"/>
                <w:lang w:eastAsia="zh-CN"/>
              </w:rPr>
              <w:t>、</w:t>
            </w:r>
            <w:r>
              <w:rPr>
                <w:rFonts w:hint="eastAsia"/>
                <w:szCs w:val="21"/>
              </w:rPr>
              <w:t>生态视角下高职流通类专业人才创新培养研究</w:t>
            </w:r>
            <w:r>
              <w:rPr>
                <w:rFonts w:hint="eastAsia"/>
                <w:szCs w:val="21"/>
                <w:lang w:eastAsia="zh-CN"/>
              </w:rPr>
              <w:t>，</w:t>
            </w:r>
            <w:r>
              <w:rPr>
                <w:rFonts w:hint="eastAsia"/>
                <w:szCs w:val="21"/>
              </w:rPr>
              <w:t>湖南省教育厅</w:t>
            </w:r>
            <w:r>
              <w:rPr>
                <w:rFonts w:hint="eastAsia"/>
                <w:szCs w:val="21"/>
                <w:lang w:eastAsia="zh-CN"/>
              </w:rPr>
              <w:t>，</w:t>
            </w:r>
            <w:r>
              <w:rPr>
                <w:rFonts w:hint="eastAsia"/>
                <w:szCs w:val="21"/>
              </w:rPr>
              <w:t>ZJGB2019098</w:t>
            </w:r>
            <w:r>
              <w:rPr>
                <w:rFonts w:hint="eastAsia"/>
                <w:szCs w:val="21"/>
                <w:lang w:eastAsia="zh-CN"/>
              </w:rPr>
              <w:t>，</w:t>
            </w:r>
            <w:r>
              <w:rPr>
                <w:rFonts w:hint="eastAsia"/>
                <w:szCs w:val="21"/>
              </w:rPr>
              <w:t>在研</w:t>
            </w:r>
            <w:r>
              <w:rPr>
                <w:rFonts w:hint="eastAsia"/>
                <w:szCs w:val="21"/>
                <w:lang w:eastAsia="zh-CN"/>
              </w:rPr>
              <w:t>。</w:t>
            </w:r>
          </w:p>
          <w:p>
            <w:pPr>
              <w:spacing w:line="280" w:lineRule="exact"/>
              <w:rPr>
                <w:rFonts w:hint="eastAsia"/>
                <w:szCs w:val="21"/>
                <w:lang w:eastAsia="zh-CN"/>
              </w:rPr>
            </w:pPr>
            <w:r>
              <w:rPr>
                <w:rFonts w:hint="eastAsia"/>
                <w:b/>
                <w:bCs/>
                <w:szCs w:val="21"/>
                <w:lang w:val="en-US" w:eastAsia="zh-CN"/>
              </w:rPr>
              <w:t>参与：</w:t>
            </w:r>
            <w:r>
              <w:rPr>
                <w:rFonts w:hint="eastAsia"/>
                <w:b w:val="0"/>
                <w:bCs w:val="0"/>
                <w:szCs w:val="21"/>
                <w:lang w:val="en-US" w:eastAsia="zh-CN"/>
              </w:rPr>
              <w:t>1、</w:t>
            </w:r>
            <w:r>
              <w:rPr>
                <w:rFonts w:hint="eastAsia"/>
                <w:szCs w:val="21"/>
              </w:rPr>
              <w:t>基于创业教育与职业技能教育整合的农产品经纪与代理专业人才培养模式研究</w:t>
            </w:r>
            <w:r>
              <w:rPr>
                <w:rFonts w:hint="eastAsia" w:ascii="宋体" w:hAnsi="宋体"/>
                <w:szCs w:val="21"/>
              </w:rPr>
              <w:t>（排名第</w:t>
            </w:r>
            <w:r>
              <w:rPr>
                <w:rFonts w:hint="eastAsia" w:ascii="宋体" w:hAnsi="宋体"/>
                <w:szCs w:val="21"/>
                <w:lang w:val="en-US" w:eastAsia="zh-CN"/>
              </w:rPr>
              <w:t>三</w:t>
            </w:r>
            <w:r>
              <w:rPr>
                <w:rFonts w:hint="eastAsia" w:ascii="宋体" w:hAnsi="宋体"/>
                <w:szCs w:val="21"/>
              </w:rPr>
              <w:t>）</w:t>
            </w:r>
            <w:r>
              <w:rPr>
                <w:rFonts w:hint="eastAsia"/>
                <w:szCs w:val="21"/>
                <w:lang w:eastAsia="zh-CN"/>
              </w:rPr>
              <w:t>，</w:t>
            </w:r>
            <w:r>
              <w:rPr>
                <w:rFonts w:hint="eastAsia"/>
                <w:szCs w:val="21"/>
              </w:rPr>
              <w:t>中华全国供销合作总社</w:t>
            </w:r>
            <w:r>
              <w:rPr>
                <w:rFonts w:hint="eastAsia"/>
                <w:szCs w:val="21"/>
                <w:lang w:eastAsia="zh-CN"/>
              </w:rPr>
              <w:t>，</w:t>
            </w:r>
            <w:r>
              <w:rPr>
                <w:rFonts w:hint="eastAsia"/>
                <w:szCs w:val="21"/>
                <w:lang w:val="en-US" w:eastAsia="zh-CN"/>
              </w:rPr>
              <w:t>2013年已</w:t>
            </w:r>
            <w:r>
              <w:rPr>
                <w:rFonts w:hint="eastAsia"/>
                <w:szCs w:val="21"/>
              </w:rPr>
              <w:t>结题</w:t>
            </w:r>
            <w:r>
              <w:rPr>
                <w:rFonts w:hint="eastAsia"/>
                <w:szCs w:val="21"/>
                <w:lang w:eastAsia="zh-CN"/>
              </w:rPr>
              <w:t>；</w:t>
            </w:r>
            <w:r>
              <w:rPr>
                <w:rFonts w:hint="eastAsia"/>
                <w:szCs w:val="21"/>
                <w:lang w:val="en-US" w:eastAsia="zh-CN"/>
              </w:rPr>
              <w:t>2、</w:t>
            </w:r>
            <w:r>
              <w:rPr>
                <w:rFonts w:hint="eastAsia"/>
                <w:szCs w:val="21"/>
              </w:rPr>
              <w:t>冷链物流类专业企业生产实际教学案例库</w:t>
            </w:r>
            <w:r>
              <w:rPr>
                <w:rFonts w:hint="eastAsia" w:ascii="宋体" w:hAnsi="宋体"/>
                <w:szCs w:val="21"/>
              </w:rPr>
              <w:t>（排名第</w:t>
            </w:r>
            <w:r>
              <w:rPr>
                <w:rFonts w:hint="eastAsia" w:ascii="宋体" w:hAnsi="宋体"/>
                <w:szCs w:val="21"/>
                <w:lang w:val="en-US" w:eastAsia="zh-CN"/>
              </w:rPr>
              <w:t>六</w:t>
            </w:r>
            <w:r>
              <w:rPr>
                <w:rFonts w:hint="eastAsia" w:ascii="宋体" w:hAnsi="宋体"/>
                <w:szCs w:val="21"/>
              </w:rPr>
              <w:t>）</w:t>
            </w:r>
            <w:r>
              <w:rPr>
                <w:rFonts w:hint="eastAsia"/>
                <w:szCs w:val="21"/>
                <w:lang w:eastAsia="zh-CN"/>
              </w:rPr>
              <w:t>，</w:t>
            </w:r>
            <w:r>
              <w:rPr>
                <w:rFonts w:hint="eastAsia"/>
                <w:szCs w:val="21"/>
              </w:rPr>
              <w:t>教育部行业职业教育教学指导委员会</w:t>
            </w:r>
            <w:r>
              <w:rPr>
                <w:rFonts w:hint="eastAsia"/>
                <w:szCs w:val="21"/>
                <w:lang w:eastAsia="zh-CN"/>
              </w:rPr>
              <w:t>，</w:t>
            </w:r>
            <w:r>
              <w:rPr>
                <w:rFonts w:hint="eastAsia"/>
                <w:szCs w:val="21"/>
                <w:lang w:val="en-US" w:eastAsia="zh-CN"/>
              </w:rPr>
              <w:t>2015年已</w:t>
            </w:r>
            <w:r>
              <w:rPr>
                <w:rFonts w:hint="eastAsia"/>
                <w:szCs w:val="21"/>
              </w:rPr>
              <w:t>结题</w:t>
            </w:r>
            <w:r>
              <w:rPr>
                <w:rFonts w:hint="eastAsia"/>
                <w:szCs w:val="21"/>
                <w:lang w:eastAsia="zh-CN"/>
              </w:rPr>
              <w:t>；</w:t>
            </w:r>
            <w:r>
              <w:rPr>
                <w:rFonts w:hint="eastAsia"/>
                <w:szCs w:val="21"/>
                <w:lang w:val="en-US" w:eastAsia="zh-CN"/>
              </w:rPr>
              <w:t>3、</w:t>
            </w:r>
            <w:r>
              <w:rPr>
                <w:rFonts w:hint="eastAsia"/>
                <w:szCs w:val="21"/>
              </w:rPr>
              <w:t>高职商科类专业创新创业教育与专业教育融合的路径与对策</w:t>
            </w:r>
            <w:r>
              <w:rPr>
                <w:rFonts w:hint="eastAsia" w:ascii="宋体" w:hAnsi="宋体"/>
                <w:szCs w:val="21"/>
              </w:rPr>
              <w:t>（排名第</w:t>
            </w:r>
            <w:r>
              <w:rPr>
                <w:rFonts w:hint="eastAsia" w:ascii="宋体" w:hAnsi="宋体"/>
                <w:szCs w:val="21"/>
                <w:lang w:val="en-US" w:eastAsia="zh-CN"/>
              </w:rPr>
              <w:t>二</w:t>
            </w:r>
            <w:r>
              <w:rPr>
                <w:rFonts w:hint="eastAsia" w:ascii="宋体" w:hAnsi="宋体"/>
                <w:szCs w:val="21"/>
              </w:rPr>
              <w:t>）</w:t>
            </w:r>
            <w:r>
              <w:rPr>
                <w:rFonts w:hint="eastAsia"/>
                <w:szCs w:val="21"/>
                <w:lang w:eastAsia="zh-CN"/>
              </w:rPr>
              <w:t>，</w:t>
            </w:r>
            <w:r>
              <w:rPr>
                <w:rFonts w:hint="eastAsia"/>
                <w:szCs w:val="21"/>
              </w:rPr>
              <w:t>湖南省社会科学成果评审委员会</w:t>
            </w:r>
            <w:r>
              <w:rPr>
                <w:rFonts w:hint="eastAsia"/>
                <w:szCs w:val="21"/>
                <w:lang w:eastAsia="zh-CN"/>
              </w:rPr>
              <w:t>，</w:t>
            </w:r>
            <w:r>
              <w:rPr>
                <w:rFonts w:hint="eastAsia"/>
                <w:szCs w:val="21"/>
              </w:rPr>
              <w:t>XSPYBZC038</w:t>
            </w:r>
            <w:r>
              <w:rPr>
                <w:rFonts w:hint="eastAsia"/>
                <w:szCs w:val="21"/>
                <w:lang w:eastAsia="zh-CN"/>
              </w:rPr>
              <w:t>，</w:t>
            </w:r>
            <w:r>
              <w:rPr>
                <w:rFonts w:hint="eastAsia"/>
                <w:szCs w:val="21"/>
              </w:rPr>
              <w:t>结题</w:t>
            </w:r>
            <w:r>
              <w:rPr>
                <w:rFonts w:hint="eastAsia"/>
                <w:szCs w:val="21"/>
                <w:lang w:eastAsia="zh-CN"/>
              </w:rPr>
              <w:t>；</w:t>
            </w:r>
            <w:r>
              <w:rPr>
                <w:rFonts w:hint="eastAsia"/>
                <w:szCs w:val="21"/>
                <w:lang w:val="en-US" w:eastAsia="zh-CN"/>
              </w:rPr>
              <w:t>4、</w:t>
            </w:r>
            <w:r>
              <w:rPr>
                <w:rFonts w:hint="eastAsia"/>
                <w:szCs w:val="21"/>
              </w:rPr>
              <w:t>基于GEM框架的湖南创新创业环境研究</w:t>
            </w:r>
            <w:r>
              <w:rPr>
                <w:rFonts w:hint="eastAsia" w:ascii="宋体" w:hAnsi="宋体"/>
                <w:szCs w:val="21"/>
              </w:rPr>
              <w:t>（排名第</w:t>
            </w:r>
            <w:r>
              <w:rPr>
                <w:rFonts w:hint="eastAsia" w:ascii="宋体" w:hAnsi="宋体"/>
                <w:szCs w:val="21"/>
                <w:lang w:val="en-US" w:eastAsia="zh-CN"/>
              </w:rPr>
              <w:t>三</w:t>
            </w:r>
            <w:r>
              <w:rPr>
                <w:rFonts w:hint="eastAsia" w:ascii="宋体" w:hAnsi="宋体"/>
                <w:szCs w:val="21"/>
              </w:rPr>
              <w:t>）</w:t>
            </w:r>
            <w:r>
              <w:rPr>
                <w:rFonts w:hint="eastAsia" w:ascii="宋体" w:hAnsi="宋体"/>
                <w:szCs w:val="21"/>
                <w:lang w:eastAsia="zh-CN"/>
              </w:rPr>
              <w:t>，</w:t>
            </w:r>
            <w:r>
              <w:rPr>
                <w:rFonts w:hint="eastAsia"/>
                <w:szCs w:val="21"/>
              </w:rPr>
              <w:t>湖南省教育厅</w:t>
            </w:r>
            <w:r>
              <w:rPr>
                <w:rFonts w:hint="eastAsia"/>
                <w:szCs w:val="21"/>
                <w:lang w:eastAsia="zh-CN"/>
              </w:rPr>
              <w:t>，</w:t>
            </w:r>
            <w:r>
              <w:rPr>
                <w:rFonts w:hint="eastAsia"/>
                <w:szCs w:val="21"/>
              </w:rPr>
              <w:t>16C0870</w:t>
            </w:r>
            <w:r>
              <w:rPr>
                <w:rFonts w:hint="eastAsia"/>
                <w:szCs w:val="21"/>
              </w:rPr>
              <w:tab/>
            </w:r>
            <w:r>
              <w:rPr>
                <w:rFonts w:hint="eastAsia"/>
                <w:szCs w:val="21"/>
                <w:lang w:eastAsia="zh-CN"/>
              </w:rPr>
              <w:t>，</w:t>
            </w:r>
            <w:r>
              <w:rPr>
                <w:rFonts w:hint="eastAsia"/>
                <w:szCs w:val="21"/>
              </w:rPr>
              <w:t>已结题</w:t>
            </w:r>
            <w:r>
              <w:rPr>
                <w:rFonts w:hint="eastAsia"/>
                <w:szCs w:val="21"/>
                <w:lang w:eastAsia="zh-CN"/>
              </w:rPr>
              <w:t>。</w:t>
            </w:r>
          </w:p>
          <w:p>
            <w:pPr>
              <w:adjustRightInd w:val="0"/>
              <w:snapToGrid w:val="0"/>
              <w:rPr>
                <w:rFonts w:ascii="宋体" w:hAnsi="宋体"/>
                <w:b/>
                <w:szCs w:val="21"/>
              </w:rPr>
            </w:pPr>
            <w:r>
              <w:rPr>
                <w:rFonts w:ascii="宋体" w:hAnsi="宋体"/>
                <w:b/>
                <w:szCs w:val="21"/>
              </w:rPr>
              <w:t>实用新型专利</w:t>
            </w:r>
            <w:r>
              <w:rPr>
                <w:rFonts w:hint="eastAsia" w:ascii="宋体" w:hAnsi="宋体"/>
                <w:b/>
                <w:szCs w:val="21"/>
                <w:lang w:val="en-US" w:eastAsia="zh-CN"/>
              </w:rPr>
              <w:t>三</w:t>
            </w:r>
            <w:r>
              <w:rPr>
                <w:rFonts w:ascii="宋体" w:hAnsi="宋体"/>
                <w:b/>
                <w:szCs w:val="21"/>
              </w:rPr>
              <w:t>项：</w:t>
            </w:r>
          </w:p>
          <w:p>
            <w:pPr>
              <w:spacing w:line="280" w:lineRule="exact"/>
              <w:rPr>
                <w:rFonts w:hint="eastAsia" w:eastAsia="宋体"/>
                <w:szCs w:val="21"/>
                <w:lang w:eastAsia="zh-CN"/>
              </w:rPr>
            </w:pPr>
            <w:r>
              <w:rPr>
                <w:rFonts w:hint="eastAsia"/>
                <w:szCs w:val="21"/>
              </w:rPr>
              <w:t>1</w:t>
            </w:r>
            <w:r>
              <w:rPr>
                <w:rFonts w:hint="eastAsia"/>
                <w:szCs w:val="21"/>
                <w:lang w:eastAsia="zh-CN"/>
              </w:rPr>
              <w:t>、</w:t>
            </w:r>
            <w:r>
              <w:rPr>
                <w:rFonts w:hint="eastAsia"/>
                <w:szCs w:val="21"/>
              </w:rPr>
              <w:t>一种物流教学用升降式货架</w:t>
            </w:r>
            <w:r>
              <w:rPr>
                <w:rFonts w:hint="eastAsia"/>
                <w:szCs w:val="21"/>
                <w:lang w:eastAsia="zh-CN"/>
              </w:rPr>
              <w:t>，</w:t>
            </w:r>
            <w:r>
              <w:rPr>
                <w:rFonts w:hint="eastAsia"/>
                <w:szCs w:val="21"/>
              </w:rPr>
              <w:t>国家知识产权局</w:t>
            </w:r>
            <w:r>
              <w:rPr>
                <w:rFonts w:hint="eastAsia"/>
                <w:szCs w:val="21"/>
                <w:lang w:eastAsia="zh-CN"/>
              </w:rPr>
              <w:t>，</w:t>
            </w:r>
            <w:r>
              <w:rPr>
                <w:rFonts w:hint="eastAsia"/>
                <w:szCs w:val="21"/>
              </w:rPr>
              <w:t>ZL201720250619.7</w:t>
            </w:r>
            <w:r>
              <w:rPr>
                <w:rFonts w:hint="eastAsia"/>
                <w:szCs w:val="21"/>
                <w:lang w:eastAsia="zh-CN"/>
              </w:rPr>
              <w:t>；</w:t>
            </w:r>
            <w:r>
              <w:rPr>
                <w:rFonts w:hint="eastAsia"/>
                <w:szCs w:val="21"/>
              </w:rPr>
              <w:t>2</w:t>
            </w:r>
            <w:r>
              <w:rPr>
                <w:rFonts w:hint="eastAsia"/>
                <w:szCs w:val="21"/>
                <w:lang w:eastAsia="zh-CN"/>
              </w:rPr>
              <w:t>、</w:t>
            </w:r>
            <w:r>
              <w:rPr>
                <w:rFonts w:hint="eastAsia"/>
                <w:szCs w:val="21"/>
              </w:rPr>
              <w:t>一种物流教学用容积可调式集装箱</w:t>
            </w:r>
            <w:r>
              <w:rPr>
                <w:rFonts w:hint="eastAsia"/>
                <w:szCs w:val="21"/>
                <w:lang w:eastAsia="zh-CN"/>
              </w:rPr>
              <w:t>，</w:t>
            </w:r>
            <w:r>
              <w:rPr>
                <w:rFonts w:hint="eastAsia"/>
                <w:szCs w:val="21"/>
              </w:rPr>
              <w:t>国家知识产权局</w:t>
            </w:r>
            <w:r>
              <w:rPr>
                <w:rFonts w:hint="eastAsia"/>
                <w:szCs w:val="21"/>
                <w:lang w:eastAsia="zh-CN"/>
              </w:rPr>
              <w:t>，</w:t>
            </w:r>
            <w:r>
              <w:rPr>
                <w:rFonts w:hint="eastAsia"/>
                <w:szCs w:val="21"/>
              </w:rPr>
              <w:t>ZL201720449634.4</w:t>
            </w:r>
            <w:r>
              <w:rPr>
                <w:rFonts w:hint="eastAsia"/>
                <w:szCs w:val="21"/>
              </w:rPr>
              <w:tab/>
            </w:r>
            <w:r>
              <w:rPr>
                <w:rFonts w:hint="eastAsia"/>
                <w:szCs w:val="21"/>
                <w:lang w:eastAsia="zh-CN"/>
              </w:rPr>
              <w:t>；</w:t>
            </w:r>
            <w:r>
              <w:rPr>
                <w:rFonts w:hint="eastAsia"/>
                <w:szCs w:val="21"/>
              </w:rPr>
              <w:t>3</w:t>
            </w:r>
            <w:r>
              <w:rPr>
                <w:rFonts w:hint="eastAsia"/>
                <w:szCs w:val="21"/>
                <w:lang w:eastAsia="zh-CN"/>
              </w:rPr>
              <w:t>、</w:t>
            </w:r>
            <w:r>
              <w:rPr>
                <w:rFonts w:hint="eastAsia"/>
                <w:szCs w:val="21"/>
              </w:rPr>
              <w:t>一种物流教学中快速组装的立体仓库</w:t>
            </w:r>
            <w:r>
              <w:rPr>
                <w:rFonts w:hint="eastAsia"/>
                <w:szCs w:val="21"/>
                <w:lang w:eastAsia="zh-CN"/>
              </w:rPr>
              <w:t>，</w:t>
            </w:r>
            <w:r>
              <w:rPr>
                <w:rFonts w:hint="eastAsia"/>
                <w:szCs w:val="21"/>
              </w:rPr>
              <w:t>国家知识产权局</w:t>
            </w:r>
            <w:r>
              <w:rPr>
                <w:rFonts w:hint="eastAsia"/>
                <w:szCs w:val="21"/>
                <w:lang w:eastAsia="zh-CN"/>
              </w:rPr>
              <w:t>，</w:t>
            </w:r>
            <w:r>
              <w:rPr>
                <w:rFonts w:hint="eastAsia"/>
                <w:szCs w:val="21"/>
              </w:rPr>
              <w:t>ZL201720249797.8</w:t>
            </w:r>
            <w:r>
              <w:rPr>
                <w:rFonts w:hint="eastAsia"/>
                <w:szCs w:val="21"/>
              </w:rPr>
              <w:tab/>
            </w:r>
            <w:r>
              <w:rPr>
                <w:rFonts w:hint="eastAsia"/>
                <w:szCs w:val="21"/>
                <w:lang w:eastAsia="zh-CN"/>
              </w:rPr>
              <w:t>。</w:t>
            </w:r>
          </w:p>
        </w:tc>
        <w:tc>
          <w:tcPr>
            <w:tcW w:w="1234" w:type="dxa"/>
            <w:vMerge w:val="continue"/>
            <w:tcBorders>
              <w:left w:val="single" w:color="auto" w:sz="4" w:space="0"/>
              <w:bottom w:val="single" w:color="auto" w:sz="4" w:space="0"/>
              <w:right w:val="single" w:color="auto" w:sz="4" w:space="0"/>
            </w:tcBorders>
            <w:noWrap w:val="0"/>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48" w:hRule="atLeast"/>
          <w:jc w:val="center"/>
        </w:trPr>
        <w:tc>
          <w:tcPr>
            <w:tcW w:w="6776" w:type="dxa"/>
            <w:gridSpan w:val="9"/>
            <w:vMerge w:val="continue"/>
            <w:tcBorders>
              <w:left w:val="single" w:color="auto" w:sz="4" w:space="0"/>
              <w:right w:val="single" w:color="auto" w:sz="4" w:space="0"/>
            </w:tcBorders>
            <w:noWrap w:val="0"/>
            <w:vAlign w:val="center"/>
          </w:tcPr>
          <w:p>
            <w:pPr>
              <w:spacing w:line="280" w:lineRule="exact"/>
              <w:rPr>
                <w:szCs w:val="21"/>
              </w:rPr>
            </w:pPr>
          </w:p>
        </w:tc>
        <w:tc>
          <w:tcPr>
            <w:tcW w:w="1836" w:type="dxa"/>
            <w:gridSpan w:val="2"/>
            <w:tcBorders>
              <w:top w:val="single" w:color="auto" w:sz="4" w:space="0"/>
              <w:left w:val="single" w:color="auto" w:sz="4" w:space="0"/>
              <w:right w:val="single" w:color="auto" w:sz="4" w:space="0"/>
            </w:tcBorders>
            <w:noWrap w:val="0"/>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490" w:type="dxa"/>
            <w:gridSpan w:val="13"/>
            <w:tcBorders>
              <w:left w:val="single" w:color="auto" w:sz="4" w:space="0"/>
              <w:right w:val="single" w:color="auto" w:sz="4" w:space="0"/>
            </w:tcBorders>
            <w:noWrap w:val="0"/>
            <w:vAlign w:val="top"/>
          </w:tcPr>
          <w:p>
            <w:pPr>
              <w:keepNext/>
              <w:ind w:firstLine="420" w:firstLineChars="200"/>
              <w:rPr>
                <w:szCs w:val="21"/>
              </w:rPr>
            </w:pPr>
            <w:r>
              <w:rPr>
                <w:rFonts w:hint="eastAsia" w:ascii="宋体" w:hAnsi="宋体"/>
                <w:b w:val="0"/>
                <w:bCs w:val="0"/>
                <w:color w:val="000000"/>
                <w:szCs w:val="21"/>
                <w:lang w:val="en-US" w:eastAsia="zh-CN"/>
              </w:rPr>
              <w:t>2010年9--2012年7月，本人担任我院2010级物流管理2班的辅导员，通过严格管理班级，培养优秀的班团干部队伍，深入了解班级学生心里健康，组织开展丰富多彩的班级活动，营造浓郁的学习氛围，尽心尽力帮助学生解决生活、学习上的实际困难，深受学生的欢迎与爱戴。班级多次被评为“优秀班级”。注重学生职业素养的培养、就业规划、继续升学等个人发展情况。先后与中国邮政速递物流、顺丰湖南分公司、德邦物流、苏宁物流等多家知名企业联系，开展毕业顶岗实习工作，如：2017年，促成2015级物流专业39名学生找到合适的企业、岗位，占物流专业年级人数的46%。另外，对于成绩比较好的学生，积极鼓励他们参加自学考试、专升本考试，并利用工作之余，给部分学生专升本的辅导工作。2016级物流管理专业21名学生报考，19名被湖南工商大学录取，录取率高达90%。</w:t>
            </w:r>
          </w:p>
        </w:tc>
        <w:tc>
          <w:tcPr>
            <w:tcW w:w="1234" w:type="dxa"/>
            <w:tcBorders>
              <w:left w:val="single" w:color="auto" w:sz="4" w:space="0"/>
              <w:right w:val="single" w:color="auto" w:sz="4" w:space="0"/>
            </w:tcBorders>
            <w:noWrap w:val="0"/>
            <w:vAlign w:val="center"/>
          </w:tcPr>
          <w:p>
            <w:pPr>
              <w:spacing w:line="280" w:lineRule="exact"/>
              <w:rPr>
                <w:szCs w:val="21"/>
              </w:rPr>
            </w:pPr>
            <w:r>
              <w:rPr>
                <w:szCs w:val="21"/>
              </w:rPr>
              <w:t>学校主管部门（盖章）审核人签名：</w:t>
            </w:r>
          </w:p>
          <w:p>
            <w:pPr>
              <w:spacing w:line="280" w:lineRule="exact"/>
              <w:rPr>
                <w:szCs w:val="21"/>
              </w:rPr>
            </w:pPr>
          </w:p>
        </w:tc>
      </w:tr>
    </w:tbl>
    <w:p>
      <w:pPr>
        <w:spacing w:line="280" w:lineRule="exact"/>
        <w:rPr>
          <w:sz w:val="24"/>
          <w:szCs w:val="32"/>
        </w:rPr>
      </w:pPr>
      <w:r>
        <w:rPr>
          <w:sz w:val="24"/>
          <w:szCs w:val="32"/>
        </w:rPr>
        <w:t xml:space="preserve">公示结果（有异议/无异议）：  </w:t>
      </w:r>
      <w:r>
        <w:rPr>
          <w:sz w:val="18"/>
          <w:szCs w:val="18"/>
        </w:rPr>
        <w:t xml:space="preserve">                    </w:t>
      </w:r>
      <w:r>
        <w:rPr>
          <w:sz w:val="24"/>
          <w:szCs w:val="32"/>
        </w:rPr>
        <w:t xml:space="preserve">    单位（公章）：                           单位审核责任人签名：                                        填表日期：  </w:t>
      </w:r>
      <w:r>
        <w:rPr>
          <w:rFonts w:hint="eastAsia"/>
          <w:sz w:val="24"/>
          <w:szCs w:val="32"/>
          <w:lang w:val="en-US" w:eastAsia="zh-CN"/>
        </w:rPr>
        <w:t>2020</w:t>
      </w:r>
      <w:r>
        <w:rPr>
          <w:sz w:val="24"/>
          <w:szCs w:val="32"/>
        </w:rPr>
        <w:t xml:space="preserve"> 年</w:t>
      </w:r>
      <w:r>
        <w:rPr>
          <w:rFonts w:hint="eastAsia"/>
          <w:sz w:val="24"/>
          <w:szCs w:val="32"/>
          <w:lang w:val="en-US" w:eastAsia="zh-CN"/>
        </w:rPr>
        <w:t>12</w:t>
      </w:r>
      <w:r>
        <w:rPr>
          <w:sz w:val="24"/>
          <w:szCs w:val="32"/>
        </w:rPr>
        <w:t>月</w:t>
      </w:r>
      <w:r>
        <w:rPr>
          <w:rFonts w:hint="eastAsia"/>
          <w:sz w:val="24"/>
          <w:szCs w:val="32"/>
          <w:lang w:val="en-US" w:eastAsia="zh-CN"/>
        </w:rPr>
        <w:t>12</w:t>
      </w:r>
      <w:r>
        <w:rPr>
          <w:sz w:val="24"/>
          <w:szCs w:val="32"/>
        </w:rPr>
        <w:t xml:space="preserve"> 日</w:t>
      </w:r>
    </w:p>
    <w:p>
      <w:pPr>
        <w:spacing w:line="360" w:lineRule="exact"/>
        <w:ind w:firstLine="480" w:firstLineChars="200"/>
        <w:rPr>
          <w:sz w:val="24"/>
          <w:szCs w:val="32"/>
        </w:rPr>
      </w:pPr>
      <w:r>
        <w:rPr>
          <w:sz w:val="24"/>
          <w:szCs w:val="32"/>
        </w:rPr>
        <w:t xml:space="preserve">注：1、表中“其它教学工作量”是指出卷、监考、指导毕业生论文等。2、增刊、论文集、用稿通知、清样、习题集（库）等均不作为申报高级专业技术职称的参评材料。 </w:t>
      </w:r>
    </w:p>
    <w:p>
      <w:pPr>
        <w:adjustRightInd w:val="0"/>
        <w:snapToGrid w:val="0"/>
        <w:rPr>
          <w:szCs w:val="21"/>
        </w:rPr>
        <w:sectPr>
          <w:pgSz w:w="23814" w:h="16840" w:orient="landscape"/>
          <w:pgMar w:top="1156" w:right="1361" w:bottom="1156" w:left="1588" w:header="851" w:footer="1418" w:gutter="0"/>
          <w:cols w:space="720" w:num="1"/>
          <w:docGrid w:linePitch="579" w:charSpace="-849"/>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702262"/>
    <w:rsid w:val="011A5161"/>
    <w:rsid w:val="03193BA4"/>
    <w:rsid w:val="044D70D5"/>
    <w:rsid w:val="057E4CCD"/>
    <w:rsid w:val="06C232DB"/>
    <w:rsid w:val="07404AE5"/>
    <w:rsid w:val="07933CD4"/>
    <w:rsid w:val="08946745"/>
    <w:rsid w:val="0A1F1D2D"/>
    <w:rsid w:val="0B240A88"/>
    <w:rsid w:val="0C545607"/>
    <w:rsid w:val="0DB40414"/>
    <w:rsid w:val="0EAB7D46"/>
    <w:rsid w:val="0EBF554A"/>
    <w:rsid w:val="0F48314C"/>
    <w:rsid w:val="0F83154A"/>
    <w:rsid w:val="104015C1"/>
    <w:rsid w:val="104707E2"/>
    <w:rsid w:val="11F347F9"/>
    <w:rsid w:val="12316F15"/>
    <w:rsid w:val="1395541E"/>
    <w:rsid w:val="14E65D16"/>
    <w:rsid w:val="16A542C0"/>
    <w:rsid w:val="179D62BC"/>
    <w:rsid w:val="18B862B3"/>
    <w:rsid w:val="19D07327"/>
    <w:rsid w:val="1A70787C"/>
    <w:rsid w:val="1A8B1D49"/>
    <w:rsid w:val="1DB7632E"/>
    <w:rsid w:val="1E3E760F"/>
    <w:rsid w:val="1E994C40"/>
    <w:rsid w:val="20DC3A6A"/>
    <w:rsid w:val="20E33D5E"/>
    <w:rsid w:val="21870CFD"/>
    <w:rsid w:val="23011C1A"/>
    <w:rsid w:val="23025E5C"/>
    <w:rsid w:val="240562D3"/>
    <w:rsid w:val="24A91EC1"/>
    <w:rsid w:val="25783340"/>
    <w:rsid w:val="267E0040"/>
    <w:rsid w:val="26EC5AB9"/>
    <w:rsid w:val="271B6B16"/>
    <w:rsid w:val="2726644A"/>
    <w:rsid w:val="27EF35E9"/>
    <w:rsid w:val="28840934"/>
    <w:rsid w:val="28C630BA"/>
    <w:rsid w:val="28DE6846"/>
    <w:rsid w:val="29FB6AA1"/>
    <w:rsid w:val="2A4900EC"/>
    <w:rsid w:val="2B611D52"/>
    <w:rsid w:val="2C044982"/>
    <w:rsid w:val="2CF814A1"/>
    <w:rsid w:val="2DDD6B02"/>
    <w:rsid w:val="2EE66CC7"/>
    <w:rsid w:val="2EF6139F"/>
    <w:rsid w:val="2FAB7C82"/>
    <w:rsid w:val="304625D4"/>
    <w:rsid w:val="30863A5E"/>
    <w:rsid w:val="30882559"/>
    <w:rsid w:val="31A41271"/>
    <w:rsid w:val="322E5391"/>
    <w:rsid w:val="331A1D29"/>
    <w:rsid w:val="358C661B"/>
    <w:rsid w:val="35EA47D5"/>
    <w:rsid w:val="3633701D"/>
    <w:rsid w:val="366E0E6D"/>
    <w:rsid w:val="38651784"/>
    <w:rsid w:val="3A341B39"/>
    <w:rsid w:val="3D8F326A"/>
    <w:rsid w:val="3DE67DEB"/>
    <w:rsid w:val="3F053DDC"/>
    <w:rsid w:val="3F6C579B"/>
    <w:rsid w:val="40FA3663"/>
    <w:rsid w:val="415F3FC8"/>
    <w:rsid w:val="41A07ABE"/>
    <w:rsid w:val="42702262"/>
    <w:rsid w:val="432942D5"/>
    <w:rsid w:val="43B22FD0"/>
    <w:rsid w:val="45A12C0F"/>
    <w:rsid w:val="472D44C5"/>
    <w:rsid w:val="47383EAE"/>
    <w:rsid w:val="48725F82"/>
    <w:rsid w:val="49E07ED7"/>
    <w:rsid w:val="49E77505"/>
    <w:rsid w:val="49EE4477"/>
    <w:rsid w:val="4AB70728"/>
    <w:rsid w:val="4B206BBF"/>
    <w:rsid w:val="4CAA0FEB"/>
    <w:rsid w:val="4D2B0722"/>
    <w:rsid w:val="4D550E2D"/>
    <w:rsid w:val="4E795DE7"/>
    <w:rsid w:val="4E9B46D1"/>
    <w:rsid w:val="4F0C0058"/>
    <w:rsid w:val="4FA62639"/>
    <w:rsid w:val="51247178"/>
    <w:rsid w:val="514922A9"/>
    <w:rsid w:val="52503F4C"/>
    <w:rsid w:val="52F226E7"/>
    <w:rsid w:val="535704A3"/>
    <w:rsid w:val="53B34379"/>
    <w:rsid w:val="54214CDA"/>
    <w:rsid w:val="560675E2"/>
    <w:rsid w:val="562856C9"/>
    <w:rsid w:val="5678641B"/>
    <w:rsid w:val="5834444A"/>
    <w:rsid w:val="587A05F8"/>
    <w:rsid w:val="593E57AF"/>
    <w:rsid w:val="594924A1"/>
    <w:rsid w:val="595B20BE"/>
    <w:rsid w:val="5A0121B7"/>
    <w:rsid w:val="5A86576B"/>
    <w:rsid w:val="5C58378B"/>
    <w:rsid w:val="5CBC3122"/>
    <w:rsid w:val="5D2B63E6"/>
    <w:rsid w:val="5DC72E31"/>
    <w:rsid w:val="5DD379B5"/>
    <w:rsid w:val="5EAE0855"/>
    <w:rsid w:val="5F1857E8"/>
    <w:rsid w:val="5F8272CD"/>
    <w:rsid w:val="5FD53B94"/>
    <w:rsid w:val="60911B23"/>
    <w:rsid w:val="60935832"/>
    <w:rsid w:val="609F7CAA"/>
    <w:rsid w:val="60AE363F"/>
    <w:rsid w:val="61813103"/>
    <w:rsid w:val="636A7A93"/>
    <w:rsid w:val="639C707D"/>
    <w:rsid w:val="63EC29F6"/>
    <w:rsid w:val="644B43B3"/>
    <w:rsid w:val="64DD6E76"/>
    <w:rsid w:val="668B28DE"/>
    <w:rsid w:val="66964019"/>
    <w:rsid w:val="66E06E48"/>
    <w:rsid w:val="66E86BE7"/>
    <w:rsid w:val="68571962"/>
    <w:rsid w:val="68CF706B"/>
    <w:rsid w:val="6B1F35B2"/>
    <w:rsid w:val="6D5E6130"/>
    <w:rsid w:val="6DF25923"/>
    <w:rsid w:val="6E725C53"/>
    <w:rsid w:val="6EA15CFB"/>
    <w:rsid w:val="6EC251B9"/>
    <w:rsid w:val="6F6B08C9"/>
    <w:rsid w:val="6F805A1A"/>
    <w:rsid w:val="6F847C42"/>
    <w:rsid w:val="6FC12C50"/>
    <w:rsid w:val="6FDB3ADE"/>
    <w:rsid w:val="71607CBB"/>
    <w:rsid w:val="72712879"/>
    <w:rsid w:val="739812B1"/>
    <w:rsid w:val="770D46FB"/>
    <w:rsid w:val="77E14808"/>
    <w:rsid w:val="78647869"/>
    <w:rsid w:val="787B5482"/>
    <w:rsid w:val="7B623C4D"/>
    <w:rsid w:val="7B936EF0"/>
    <w:rsid w:val="7C135132"/>
    <w:rsid w:val="7C6B0B88"/>
    <w:rsid w:val="7CBB00C4"/>
    <w:rsid w:val="7D5A5656"/>
    <w:rsid w:val="7D973609"/>
    <w:rsid w:val="7F0E4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2020-12-15T03:19:00Z</dcterms:created>
  <dc:creator>cattle</dc:creator>
  <cp:lastModifiedBy>向向</cp:lastModifiedBy>
  <dcterms:modified xsi:type="dcterms:W3CDTF">2020-12-17T01:14:00Z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