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21"/>
        </w:rPr>
      </w:pPr>
    </w:p>
    <w:p>
      <w:pPr>
        <w:tabs>
          <w:tab w:val="left" w:pos="19440"/>
        </w:tabs>
        <w:spacing w:line="480" w:lineRule="exact"/>
        <w:rPr>
          <w:rFonts w:eastAsia="黑体"/>
          <w:bCs/>
          <w:sz w:val="36"/>
          <w:szCs w:val="36"/>
        </w:rPr>
      </w:pPr>
      <w:r>
        <w:rPr>
          <w:rFonts w:eastAsia="黑体"/>
          <w:sz w:val="32"/>
          <w:szCs w:val="32"/>
        </w:rPr>
        <w:t xml:space="preserve">表2 </w:t>
      </w:r>
      <w:r>
        <w:rPr>
          <w:rFonts w:eastAsia="黑体"/>
          <w:b/>
          <w:bCs/>
          <w:sz w:val="36"/>
          <w:szCs w:val="36"/>
        </w:rPr>
        <w:t xml:space="preserve">                   </w:t>
      </w:r>
      <w:r>
        <w:rPr>
          <w:rFonts w:eastAsia="方正小标宋简体"/>
          <w:bCs/>
          <w:sz w:val="44"/>
          <w:szCs w:val="44"/>
        </w:rPr>
        <w:t>湖南省高等学校教师系列高级专业技术职称申报人员情况</w:t>
      </w:r>
      <w:bookmarkStart w:id="0" w:name="_GoBack"/>
      <w:r>
        <w:rPr>
          <w:rFonts w:eastAsia="方正小标宋简体"/>
          <w:bCs/>
          <w:sz w:val="44"/>
          <w:szCs w:val="44"/>
        </w:rPr>
        <w:t>公示表</w:t>
      </w:r>
      <w:bookmarkEnd w:id="0"/>
    </w:p>
    <w:p>
      <w:pPr>
        <w:spacing w:line="400" w:lineRule="exact"/>
        <w:jc w:val="center"/>
        <w:rPr>
          <w:bCs/>
          <w:sz w:val="32"/>
          <w:szCs w:val="32"/>
          <w:u w:val="single"/>
        </w:rPr>
      </w:pPr>
      <w:r>
        <w:rPr>
          <w:bCs/>
          <w:sz w:val="32"/>
          <w:szCs w:val="32"/>
        </w:rPr>
        <w:t>单位</w:t>
      </w:r>
      <w:r>
        <w:rPr>
          <w:bCs/>
          <w:sz w:val="32"/>
          <w:szCs w:val="32"/>
          <w:u w:val="single"/>
        </w:rPr>
        <w:t xml:space="preserve"> 湖南商务职业技术学院            </w:t>
      </w:r>
      <w:r>
        <w:rPr>
          <w:bCs/>
          <w:sz w:val="32"/>
          <w:szCs w:val="32"/>
        </w:rPr>
        <w:t xml:space="preserve">  姓名</w:t>
      </w:r>
      <w:r>
        <w:rPr>
          <w:bCs/>
          <w:sz w:val="32"/>
          <w:szCs w:val="32"/>
          <w:u w:val="single"/>
        </w:rPr>
        <w:t xml:space="preserve">  贺娟        </w:t>
      </w:r>
      <w:r>
        <w:rPr>
          <w:bCs/>
          <w:sz w:val="32"/>
          <w:szCs w:val="32"/>
        </w:rPr>
        <w:t xml:space="preserve">  申报职称</w:t>
      </w:r>
      <w:r>
        <w:rPr>
          <w:bCs/>
          <w:sz w:val="32"/>
          <w:szCs w:val="32"/>
          <w:u w:val="single"/>
        </w:rPr>
        <w:t xml:space="preserve">    副教授         </w:t>
      </w:r>
      <w:r>
        <w:rPr>
          <w:rFonts w:eastAsia="黑体"/>
          <w:b/>
          <w:bCs/>
          <w:sz w:val="32"/>
          <w:szCs w:val="32"/>
        </w:rPr>
        <w:t xml:space="preserve">  </w:t>
      </w:r>
      <w:r>
        <w:rPr>
          <w:bCs/>
          <w:sz w:val="32"/>
          <w:szCs w:val="32"/>
        </w:rPr>
        <w:t>学科（专业）</w:t>
      </w:r>
      <w:r>
        <w:rPr>
          <w:bCs/>
          <w:sz w:val="32"/>
          <w:szCs w:val="32"/>
          <w:u w:val="single"/>
        </w:rPr>
        <w:t xml:space="preserve"> 思想政治教育             </w:t>
      </w:r>
    </w:p>
    <w:tbl>
      <w:tblPr>
        <w:tblStyle w:val="3"/>
        <w:tblW w:w="22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1201"/>
        <w:gridCol w:w="850"/>
        <w:gridCol w:w="962"/>
        <w:gridCol w:w="6"/>
        <w:gridCol w:w="1749"/>
        <w:gridCol w:w="8"/>
        <w:gridCol w:w="706"/>
        <w:gridCol w:w="1204"/>
        <w:gridCol w:w="1344"/>
        <w:gridCol w:w="559"/>
        <w:gridCol w:w="1099"/>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基本情况</w:t>
            </w:r>
          </w:p>
        </w:tc>
        <w:tc>
          <w:tcPr>
            <w:tcW w:w="15560" w:type="dxa"/>
            <w:gridSpan w:val="19"/>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335" w:type="dxa"/>
            <w:tcBorders>
              <w:left w:val="single" w:color="auto" w:sz="4" w:space="0"/>
              <w:right w:val="single" w:color="auto" w:sz="4" w:space="0"/>
            </w:tcBorders>
            <w:noWrap w:val="0"/>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noWrap w:val="0"/>
            <w:vAlign w:val="center"/>
          </w:tcPr>
          <w:p>
            <w:pPr>
              <w:spacing w:line="280" w:lineRule="exact"/>
              <w:jc w:val="center"/>
              <w:rPr>
                <w:szCs w:val="21"/>
              </w:rPr>
            </w:pPr>
            <w:r>
              <w:rPr>
                <w:szCs w:val="21"/>
              </w:rPr>
              <w:t>贺娟</w:t>
            </w:r>
          </w:p>
        </w:tc>
        <w:tc>
          <w:tcPr>
            <w:tcW w:w="2710" w:type="dxa"/>
            <w:gridSpan w:val="4"/>
            <w:tcBorders>
              <w:left w:val="single" w:color="auto" w:sz="4" w:space="0"/>
              <w:right w:val="single" w:color="auto" w:sz="4" w:space="0"/>
            </w:tcBorders>
            <w:noWrap w:val="0"/>
            <w:vAlign w:val="center"/>
          </w:tcPr>
          <w:p>
            <w:pPr>
              <w:jc w:val="center"/>
              <w:rPr>
                <w:szCs w:val="21"/>
              </w:rPr>
            </w:pPr>
            <w:r>
              <w:rPr>
                <w:szCs w:val="21"/>
              </w:rPr>
              <w:t>出生年月</w:t>
            </w:r>
          </w:p>
        </w:tc>
        <w:tc>
          <w:tcPr>
            <w:tcW w:w="1449" w:type="dxa"/>
            <w:gridSpan w:val="2"/>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szCs w:val="21"/>
              </w:rPr>
              <w:t>1979.04</w:t>
            </w: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教学工作</w:t>
            </w:r>
          </w:p>
          <w:p>
            <w:pPr>
              <w:spacing w:line="280" w:lineRule="exact"/>
              <w:jc w:val="center"/>
              <w:rPr>
                <w:szCs w:val="21"/>
              </w:rPr>
            </w:pPr>
          </w:p>
        </w:tc>
        <w:tc>
          <w:tcPr>
            <w:tcW w:w="5971" w:type="dxa"/>
            <w:gridSpan w:val="7"/>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教学工作量（其它教学工作量按本校方式计算）</w:t>
            </w:r>
          </w:p>
        </w:tc>
        <w:tc>
          <w:tcPr>
            <w:tcW w:w="3813" w:type="dxa"/>
            <w:gridSpan w:val="4"/>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主要教学业绩</w:t>
            </w:r>
          </w:p>
        </w:tc>
        <w:tc>
          <w:tcPr>
            <w:tcW w:w="3813" w:type="dxa"/>
            <w:gridSpan w:val="5"/>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noWrap w:val="0"/>
            <w:vAlign w:val="top"/>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szCs w:val="21"/>
              </w:rPr>
              <w:t>女</w:t>
            </w:r>
          </w:p>
        </w:tc>
        <w:tc>
          <w:tcPr>
            <w:tcW w:w="2710" w:type="dxa"/>
            <w:gridSpan w:val="4"/>
            <w:vMerge w:val="restart"/>
            <w:tcBorders>
              <w:left w:val="single" w:color="auto" w:sz="4" w:space="0"/>
              <w:right w:val="single" w:color="auto" w:sz="4" w:space="0"/>
            </w:tcBorders>
            <w:noWrap w:val="0"/>
            <w:vAlign w:val="center"/>
          </w:tcPr>
          <w:p>
            <w:pPr>
              <w:ind w:left="-86" w:leftChars="-41" w:right="-80" w:rightChars="-38"/>
              <w:jc w:val="center"/>
              <w:rPr>
                <w:szCs w:val="21"/>
              </w:rPr>
            </w:pPr>
            <w:r>
              <w:rPr>
                <w:szCs w:val="21"/>
              </w:rPr>
              <w:t>参加工作时间</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rFonts w:hint="eastAsia"/>
                <w:szCs w:val="21"/>
              </w:rPr>
              <w:t>2001.08</w:t>
            </w:r>
          </w:p>
        </w:tc>
        <w:tc>
          <w:tcPr>
            <w:tcW w:w="722" w:type="dxa"/>
            <w:vMerge w:val="continue"/>
            <w:tcBorders>
              <w:left w:val="single" w:color="auto" w:sz="4" w:space="0"/>
              <w:right w:val="single" w:color="auto" w:sz="4" w:space="0"/>
            </w:tcBorders>
            <w:noWrap w:val="0"/>
            <w:vAlign w:val="center"/>
          </w:tcPr>
          <w:p>
            <w:pPr>
              <w:spacing w:line="280" w:lineRule="exact"/>
              <w:jc w:val="center"/>
              <w:rPr>
                <w:b/>
                <w:szCs w:val="21"/>
              </w:rPr>
            </w:pPr>
          </w:p>
        </w:tc>
        <w:tc>
          <w:tcPr>
            <w:tcW w:w="1195" w:type="dxa"/>
            <w:vMerge w:val="restart"/>
            <w:tcBorders>
              <w:left w:val="single" w:color="auto" w:sz="4" w:space="0"/>
              <w:right w:val="single" w:color="auto" w:sz="4" w:space="0"/>
            </w:tcBorders>
            <w:noWrap w:val="0"/>
            <w:vAlign w:val="center"/>
          </w:tcPr>
          <w:p>
            <w:pPr>
              <w:spacing w:line="280" w:lineRule="exact"/>
              <w:ind w:left="-44" w:leftChars="-21" w:right="-42" w:rightChars="-20"/>
              <w:jc w:val="center"/>
              <w:rPr>
                <w:szCs w:val="21"/>
              </w:rPr>
            </w:pPr>
            <w:r>
              <w:rPr>
                <w:szCs w:val="21"/>
              </w:rPr>
              <w:t>按年度填写教学工作量</w:t>
            </w:r>
          </w:p>
        </w:tc>
        <w:tc>
          <w:tcPr>
            <w:tcW w:w="1201" w:type="dxa"/>
            <w:vMerge w:val="restart"/>
            <w:tcBorders>
              <w:left w:val="single" w:color="auto" w:sz="4" w:space="0"/>
              <w:right w:val="single" w:color="auto" w:sz="4" w:space="0"/>
            </w:tcBorders>
            <w:noWrap w:val="0"/>
            <w:vAlign w:val="center"/>
          </w:tcPr>
          <w:p>
            <w:pPr>
              <w:spacing w:line="280" w:lineRule="exact"/>
              <w:ind w:left="-94" w:right="-61" w:rightChars="-29"/>
              <w:jc w:val="center"/>
              <w:rPr>
                <w:szCs w:val="21"/>
              </w:rPr>
            </w:pPr>
            <w:r>
              <w:rPr>
                <w:szCs w:val="21"/>
              </w:rPr>
              <w:t>年度</w:t>
            </w:r>
          </w:p>
        </w:tc>
        <w:tc>
          <w:tcPr>
            <w:tcW w:w="1812" w:type="dxa"/>
            <w:gridSpan w:val="2"/>
            <w:tcBorders>
              <w:left w:val="single" w:color="auto" w:sz="4" w:space="0"/>
              <w:right w:val="single" w:color="auto" w:sz="4" w:space="0"/>
            </w:tcBorders>
            <w:noWrap w:val="0"/>
            <w:vAlign w:val="center"/>
          </w:tcPr>
          <w:p>
            <w:pPr>
              <w:spacing w:line="280" w:lineRule="exact"/>
              <w:ind w:left="-67" w:right="-76" w:rightChars="-36"/>
              <w:jc w:val="center"/>
              <w:rPr>
                <w:szCs w:val="21"/>
              </w:rPr>
            </w:pPr>
            <w:r>
              <w:rPr>
                <w:szCs w:val="21"/>
              </w:rPr>
              <w:t>课堂教学（学时）</w:t>
            </w:r>
          </w:p>
        </w:tc>
        <w:tc>
          <w:tcPr>
            <w:tcW w:w="1763" w:type="dxa"/>
            <w:gridSpan w:val="3"/>
            <w:vMerge w:val="restart"/>
            <w:tcBorders>
              <w:left w:val="single" w:color="auto" w:sz="4" w:space="0"/>
              <w:right w:val="single" w:color="auto" w:sz="4" w:space="0"/>
            </w:tcBorders>
            <w:noWrap w:val="0"/>
            <w:vAlign w:val="center"/>
          </w:tcPr>
          <w:p>
            <w:pPr>
              <w:spacing w:line="280" w:lineRule="exact"/>
              <w:ind w:left="-63" w:leftChars="-30" w:right="-59" w:rightChars="-28"/>
              <w:jc w:val="center"/>
              <w:rPr>
                <w:szCs w:val="21"/>
              </w:rPr>
            </w:pPr>
            <w:r>
              <w:rPr>
                <w:szCs w:val="21"/>
              </w:rPr>
              <w:t>其它教学工作量</w:t>
            </w:r>
          </w:p>
        </w:tc>
        <w:tc>
          <w:tcPr>
            <w:tcW w:w="3813" w:type="dxa"/>
            <w:gridSpan w:val="4"/>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 xml:space="preserve">   主要参与了两门省级精品在线课程、一门校级精品在线课程建设、两个“课程思政”教改项目建设。获省级教学能力竞赛一等奖一个，二等奖一个，三等奖两个，省级教学展示竞赛三等奖两个。获得校级比赛二等奖两个，三等奖一个。</w:t>
            </w:r>
          </w:p>
        </w:tc>
        <w:tc>
          <w:tcPr>
            <w:tcW w:w="3813" w:type="dxa"/>
            <w:gridSpan w:val="5"/>
            <w:vMerge w:val="restart"/>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50" w:type="dxa"/>
            <w:vMerge w:val="restart"/>
            <w:tcBorders>
              <w:top w:val="single" w:color="auto" w:sz="4" w:space="0"/>
              <w:left w:val="single" w:color="auto" w:sz="4" w:space="0"/>
              <w:right w:val="single" w:color="auto" w:sz="4" w:space="0"/>
            </w:tcBorders>
            <w:noWrap w:val="0"/>
            <w:vAlign w:val="center"/>
          </w:tcPr>
          <w:p>
            <w:pPr>
              <w:spacing w:line="280" w:lineRule="exact"/>
              <w:ind w:left="-95" w:right="-73" w:rightChars="-35"/>
              <w:jc w:val="center"/>
              <w:rPr>
                <w:szCs w:val="21"/>
              </w:rPr>
            </w:pPr>
            <w:r>
              <w:rPr>
                <w:szCs w:val="21"/>
              </w:rPr>
              <w:t>理论教学</w:t>
            </w:r>
          </w:p>
        </w:tc>
        <w:tc>
          <w:tcPr>
            <w:tcW w:w="962" w:type="dxa"/>
            <w:vMerge w:val="restart"/>
            <w:tcBorders>
              <w:top w:val="single" w:color="auto" w:sz="4" w:space="0"/>
              <w:left w:val="single" w:color="auto" w:sz="4" w:space="0"/>
              <w:right w:val="single" w:color="auto" w:sz="4" w:space="0"/>
            </w:tcBorders>
            <w:noWrap w:val="0"/>
            <w:vAlign w:val="center"/>
          </w:tcPr>
          <w:p>
            <w:pPr>
              <w:spacing w:line="280" w:lineRule="exact"/>
              <w:ind w:left="-75"/>
              <w:jc w:val="center"/>
              <w:rPr>
                <w:szCs w:val="21"/>
              </w:rPr>
            </w:pPr>
            <w:r>
              <w:rPr>
                <w:szCs w:val="21"/>
              </w:rPr>
              <w:t>实践教学</w:t>
            </w: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noWrap w:val="0"/>
            <w:vAlign w:val="center"/>
          </w:tcPr>
          <w:p>
            <w:pPr>
              <w:spacing w:line="280" w:lineRule="exact"/>
              <w:ind w:left="-67" w:leftChars="-32" w:right="-69" w:rightChars="-33"/>
              <w:jc w:val="center"/>
              <w:rPr>
                <w:szCs w:val="21"/>
              </w:rPr>
            </w:pPr>
            <w:r>
              <w:rPr>
                <w:spacing w:val="-20"/>
                <w:szCs w:val="21"/>
              </w:rPr>
              <w:t>现任专业技术职称</w:t>
            </w:r>
          </w:p>
        </w:tc>
        <w:tc>
          <w:tcPr>
            <w:tcW w:w="1607" w:type="dxa"/>
            <w:gridSpan w:val="3"/>
            <w:vMerge w:val="restart"/>
            <w:tcBorders>
              <w:top w:val="single" w:color="auto" w:sz="4" w:space="0"/>
              <w:left w:val="single" w:color="auto" w:sz="4" w:space="0"/>
              <w:right w:val="single" w:color="auto" w:sz="4" w:space="0"/>
            </w:tcBorders>
            <w:noWrap w:val="0"/>
            <w:vAlign w:val="center"/>
          </w:tcPr>
          <w:p>
            <w:pPr>
              <w:ind w:left="-13" w:leftChars="-51" w:right="-107" w:rightChars="-51" w:hanging="94" w:hangingChars="45"/>
              <w:jc w:val="center"/>
              <w:rPr>
                <w:szCs w:val="21"/>
              </w:rPr>
            </w:pPr>
            <w:r>
              <w:rPr>
                <w:szCs w:val="21"/>
              </w:rPr>
              <w:t>讲师</w:t>
            </w:r>
          </w:p>
        </w:tc>
        <w:tc>
          <w:tcPr>
            <w:tcW w:w="1103" w:type="dxa"/>
            <w:vMerge w:val="restart"/>
            <w:tcBorders>
              <w:top w:val="single" w:color="auto" w:sz="4" w:space="0"/>
              <w:left w:val="single" w:color="auto" w:sz="4" w:space="0"/>
              <w:right w:val="single" w:color="auto" w:sz="4" w:space="0"/>
            </w:tcBorders>
            <w:noWrap w:val="0"/>
            <w:vAlign w:val="center"/>
          </w:tcPr>
          <w:p>
            <w:pPr>
              <w:ind w:left="-71" w:leftChars="-34" w:right="-61" w:rightChars="-29"/>
              <w:jc w:val="center"/>
              <w:rPr>
                <w:szCs w:val="21"/>
              </w:rPr>
            </w:pPr>
            <w:r>
              <w:rPr>
                <w:szCs w:val="21"/>
              </w:rPr>
              <w:t>获得时间</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63" w:leftChars="-30" w:right="-73" w:rightChars="-35"/>
              <w:jc w:val="center"/>
              <w:rPr>
                <w:szCs w:val="21"/>
              </w:rPr>
            </w:pPr>
            <w:r>
              <w:rPr>
                <w:szCs w:val="21"/>
              </w:rPr>
              <w:t>2007.11</w:t>
            </w: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50"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617" w:type="dxa"/>
            <w:gridSpan w:val="3"/>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01" w:type="dxa"/>
            <w:vMerge w:val="restart"/>
            <w:tcBorders>
              <w:left w:val="single" w:color="auto" w:sz="4" w:space="0"/>
              <w:right w:val="single" w:color="auto" w:sz="4" w:space="0"/>
            </w:tcBorders>
            <w:noWrap w:val="0"/>
            <w:vAlign w:val="center"/>
          </w:tcPr>
          <w:p>
            <w:pPr>
              <w:spacing w:line="280" w:lineRule="exact"/>
              <w:rPr>
                <w:rFonts w:hint="eastAsia"/>
                <w:szCs w:val="21"/>
              </w:rPr>
            </w:pPr>
            <w:r>
              <w:rPr>
                <w:szCs w:val="21"/>
              </w:rPr>
              <w:t>2015-2016</w:t>
            </w:r>
          </w:p>
          <w:p>
            <w:pPr>
              <w:spacing w:line="280" w:lineRule="exact"/>
              <w:rPr>
                <w:rFonts w:hint="eastAsia"/>
                <w:szCs w:val="21"/>
              </w:rPr>
            </w:pPr>
            <w:r>
              <w:rPr>
                <w:szCs w:val="21"/>
              </w:rPr>
              <w:t>201</w:t>
            </w:r>
            <w:r>
              <w:rPr>
                <w:rFonts w:hint="eastAsia"/>
                <w:szCs w:val="21"/>
              </w:rPr>
              <w:t>6</w:t>
            </w:r>
            <w:r>
              <w:rPr>
                <w:szCs w:val="21"/>
              </w:rPr>
              <w:t>-201</w:t>
            </w:r>
            <w:r>
              <w:rPr>
                <w:rFonts w:hint="eastAsia"/>
                <w:szCs w:val="21"/>
              </w:rPr>
              <w:t>7</w:t>
            </w:r>
          </w:p>
          <w:p>
            <w:pPr>
              <w:spacing w:line="280" w:lineRule="exact"/>
              <w:rPr>
                <w:rFonts w:hint="eastAsia"/>
                <w:szCs w:val="21"/>
              </w:rPr>
            </w:pPr>
            <w:r>
              <w:rPr>
                <w:szCs w:val="21"/>
              </w:rPr>
              <w:t>201</w:t>
            </w:r>
            <w:r>
              <w:rPr>
                <w:rFonts w:hint="eastAsia"/>
                <w:szCs w:val="21"/>
              </w:rPr>
              <w:t>7</w:t>
            </w:r>
            <w:r>
              <w:rPr>
                <w:szCs w:val="21"/>
              </w:rPr>
              <w:t>-201</w:t>
            </w:r>
            <w:r>
              <w:rPr>
                <w:rFonts w:hint="eastAsia"/>
                <w:szCs w:val="21"/>
              </w:rPr>
              <w:t>8</w:t>
            </w:r>
          </w:p>
          <w:p>
            <w:pPr>
              <w:spacing w:line="280" w:lineRule="exact"/>
              <w:rPr>
                <w:rFonts w:hint="eastAsia"/>
                <w:szCs w:val="21"/>
              </w:rPr>
            </w:pPr>
            <w:r>
              <w:rPr>
                <w:szCs w:val="21"/>
              </w:rPr>
              <w:t>201</w:t>
            </w:r>
            <w:r>
              <w:rPr>
                <w:rFonts w:hint="eastAsia"/>
                <w:szCs w:val="21"/>
              </w:rPr>
              <w:t>8</w:t>
            </w:r>
            <w:r>
              <w:rPr>
                <w:szCs w:val="21"/>
              </w:rPr>
              <w:t>-201</w:t>
            </w:r>
            <w:r>
              <w:rPr>
                <w:rFonts w:hint="eastAsia"/>
                <w:szCs w:val="21"/>
              </w:rPr>
              <w:t>9</w:t>
            </w:r>
          </w:p>
          <w:p>
            <w:pPr>
              <w:spacing w:line="280" w:lineRule="exact"/>
              <w:rPr>
                <w:szCs w:val="21"/>
              </w:rPr>
            </w:pPr>
            <w:r>
              <w:rPr>
                <w:szCs w:val="21"/>
              </w:rPr>
              <w:t>201</w:t>
            </w:r>
            <w:r>
              <w:rPr>
                <w:rFonts w:hint="eastAsia"/>
                <w:szCs w:val="21"/>
              </w:rPr>
              <w:t>9</w:t>
            </w:r>
            <w:r>
              <w:rPr>
                <w:szCs w:val="21"/>
              </w:rPr>
              <w:t>-20</w:t>
            </w:r>
            <w:r>
              <w:rPr>
                <w:rFonts w:hint="eastAsia"/>
                <w:szCs w:val="21"/>
              </w:rPr>
              <w:t>20</w:t>
            </w:r>
          </w:p>
        </w:tc>
        <w:tc>
          <w:tcPr>
            <w:tcW w:w="850" w:type="dxa"/>
            <w:vMerge w:val="restart"/>
            <w:tcBorders>
              <w:left w:val="single" w:color="auto" w:sz="4" w:space="0"/>
              <w:right w:val="single" w:color="auto" w:sz="4" w:space="0"/>
            </w:tcBorders>
            <w:noWrap w:val="0"/>
            <w:vAlign w:val="center"/>
          </w:tcPr>
          <w:p>
            <w:pPr>
              <w:spacing w:line="280" w:lineRule="exact"/>
              <w:rPr>
                <w:rFonts w:hint="eastAsia"/>
                <w:szCs w:val="21"/>
              </w:rPr>
            </w:pPr>
            <w:r>
              <w:rPr>
                <w:szCs w:val="21"/>
              </w:rPr>
              <w:t>679.8</w:t>
            </w:r>
          </w:p>
          <w:p>
            <w:pPr>
              <w:spacing w:line="280" w:lineRule="exact"/>
              <w:rPr>
                <w:rFonts w:hint="eastAsia"/>
                <w:szCs w:val="21"/>
              </w:rPr>
            </w:pPr>
            <w:r>
              <w:rPr>
                <w:szCs w:val="21"/>
              </w:rPr>
              <w:t>669</w:t>
            </w:r>
          </w:p>
          <w:p>
            <w:pPr>
              <w:spacing w:line="280" w:lineRule="exact"/>
              <w:rPr>
                <w:rFonts w:hint="eastAsia"/>
                <w:szCs w:val="21"/>
              </w:rPr>
            </w:pPr>
            <w:r>
              <w:rPr>
                <w:szCs w:val="21"/>
              </w:rPr>
              <w:t>632.7</w:t>
            </w:r>
          </w:p>
          <w:p>
            <w:pPr>
              <w:spacing w:line="280" w:lineRule="exact"/>
              <w:rPr>
                <w:rFonts w:hint="eastAsia"/>
                <w:szCs w:val="21"/>
              </w:rPr>
            </w:pPr>
            <w:r>
              <w:rPr>
                <w:szCs w:val="21"/>
              </w:rPr>
              <w:t>648.8</w:t>
            </w:r>
          </w:p>
          <w:p>
            <w:pPr>
              <w:spacing w:line="280" w:lineRule="exact"/>
              <w:rPr>
                <w:szCs w:val="21"/>
              </w:rPr>
            </w:pPr>
            <w:r>
              <w:rPr>
                <w:szCs w:val="21"/>
              </w:rPr>
              <w:t>632.3</w:t>
            </w:r>
          </w:p>
        </w:tc>
        <w:tc>
          <w:tcPr>
            <w:tcW w:w="962" w:type="dxa"/>
            <w:vMerge w:val="restart"/>
            <w:tcBorders>
              <w:left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restart"/>
            <w:tcBorders>
              <w:left w:val="single" w:color="auto" w:sz="4" w:space="0"/>
              <w:right w:val="single" w:color="auto" w:sz="4" w:space="0"/>
            </w:tcBorders>
            <w:noWrap w:val="0"/>
            <w:vAlign w:val="center"/>
          </w:tcPr>
          <w:p>
            <w:pPr>
              <w:spacing w:line="280" w:lineRule="exact"/>
              <w:ind w:left="180"/>
              <w:jc w:val="center"/>
              <w:rPr>
                <w:rFonts w:hint="eastAsia"/>
                <w:szCs w:val="21"/>
              </w:rPr>
            </w:pPr>
            <w:r>
              <w:rPr>
                <w:szCs w:val="21"/>
              </w:rPr>
              <w:t>22.9</w:t>
            </w:r>
          </w:p>
          <w:p>
            <w:pPr>
              <w:spacing w:line="280" w:lineRule="exact"/>
              <w:ind w:left="180"/>
              <w:jc w:val="center"/>
              <w:rPr>
                <w:rFonts w:hint="eastAsia"/>
                <w:szCs w:val="21"/>
              </w:rPr>
            </w:pPr>
            <w:r>
              <w:rPr>
                <w:szCs w:val="21"/>
              </w:rPr>
              <w:t>30.6</w:t>
            </w:r>
          </w:p>
          <w:p>
            <w:pPr>
              <w:spacing w:line="280" w:lineRule="exact"/>
              <w:ind w:left="180"/>
              <w:jc w:val="center"/>
              <w:rPr>
                <w:rFonts w:hint="eastAsia"/>
                <w:szCs w:val="21"/>
              </w:rPr>
            </w:pPr>
            <w:r>
              <w:rPr>
                <w:szCs w:val="21"/>
              </w:rPr>
              <w:t>28</w:t>
            </w:r>
          </w:p>
          <w:p>
            <w:pPr>
              <w:spacing w:line="280" w:lineRule="exact"/>
              <w:ind w:left="180"/>
              <w:jc w:val="center"/>
              <w:rPr>
                <w:rFonts w:hint="eastAsia"/>
                <w:szCs w:val="21"/>
              </w:rPr>
            </w:pPr>
            <w:r>
              <w:rPr>
                <w:szCs w:val="21"/>
              </w:rPr>
              <w:t>48.6</w:t>
            </w:r>
          </w:p>
          <w:p>
            <w:pPr>
              <w:spacing w:line="280" w:lineRule="exact"/>
              <w:ind w:left="180"/>
              <w:jc w:val="center"/>
              <w:rPr>
                <w:szCs w:val="21"/>
              </w:rPr>
            </w:pPr>
            <w:r>
              <w:rPr>
                <w:szCs w:val="21"/>
              </w:rPr>
              <w:t>28</w:t>
            </w:r>
          </w:p>
        </w:tc>
        <w:tc>
          <w:tcPr>
            <w:tcW w:w="3813" w:type="dxa"/>
            <w:gridSpan w:val="4"/>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noWrap w:val="0"/>
            <w:vAlign w:val="center"/>
          </w:tcPr>
          <w:p>
            <w:pPr>
              <w:spacing w:line="280" w:lineRule="exact"/>
              <w:jc w:val="distribute"/>
              <w:rPr>
                <w:szCs w:val="21"/>
              </w:rPr>
            </w:pPr>
            <w:r>
              <w:rPr>
                <w:szCs w:val="21"/>
              </w:rPr>
              <w:t>外语成绩</w:t>
            </w:r>
          </w:p>
        </w:tc>
        <w:tc>
          <w:tcPr>
            <w:tcW w:w="1282" w:type="dxa"/>
            <w:gridSpan w:val="2"/>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rFonts w:hint="eastAsia"/>
                <w:szCs w:val="21"/>
              </w:rPr>
              <w:t>82分</w:t>
            </w:r>
          </w:p>
        </w:tc>
        <w:tc>
          <w:tcPr>
            <w:tcW w:w="2710" w:type="dxa"/>
            <w:gridSpan w:val="4"/>
            <w:tcBorders>
              <w:left w:val="single" w:color="auto" w:sz="4" w:space="0"/>
              <w:bottom w:val="single" w:color="auto" w:sz="4" w:space="0"/>
              <w:right w:val="single" w:color="auto" w:sz="4" w:space="0"/>
            </w:tcBorders>
            <w:noWrap w:val="0"/>
            <w:vAlign w:val="center"/>
          </w:tcPr>
          <w:p>
            <w:pPr>
              <w:jc w:val="center"/>
              <w:rPr>
                <w:szCs w:val="21"/>
              </w:rPr>
            </w:pPr>
            <w:r>
              <w:rPr>
                <w:spacing w:val="-20"/>
                <w:szCs w:val="21"/>
              </w:rPr>
              <w:t>计算机成绩</w:t>
            </w:r>
          </w:p>
        </w:tc>
        <w:tc>
          <w:tcPr>
            <w:tcW w:w="1449" w:type="dxa"/>
            <w:gridSpan w:val="2"/>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r>
              <w:rPr>
                <w:szCs w:val="21"/>
              </w:rPr>
              <w:t>合格</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01"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850"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962"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szCs w:val="21"/>
              </w:rPr>
              <w:t>本科</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最高学位</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szCs w:val="21"/>
              </w:rPr>
              <w:t>硕士</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50"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3813" w:type="dxa"/>
            <w:gridSpan w:val="4"/>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3813" w:type="dxa"/>
            <w:gridSpan w:val="5"/>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50"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626" w:type="dxa"/>
            <w:gridSpan w:val="9"/>
            <w:vMerge w:val="restart"/>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noWrap w:val="0"/>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noWrap w:val="0"/>
            <w:vAlign w:val="center"/>
          </w:tcPr>
          <w:p>
            <w:pPr>
              <w:widowControl/>
              <w:jc w:val="center"/>
              <w:rPr>
                <w:szCs w:val="21"/>
              </w:rPr>
            </w:pPr>
            <w:r>
              <w:rPr>
                <w:szCs w:val="21"/>
              </w:rPr>
              <w:t>思想政治教育</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是否破格</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szCs w:val="21"/>
              </w:rPr>
            </w:pPr>
            <w:r>
              <w:rPr>
                <w:szCs w:val="21"/>
              </w:rPr>
              <w:t>否</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50"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9"/>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widowControl/>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50"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9"/>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任教课程为“思政”基础、“思政”概论、形势与政策、思政实践四门课程。</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gridSpan w:val="2"/>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50"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5327" w:type="dxa"/>
            <w:gridSpan w:val="7"/>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湘潭大学思想政治教育</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rFonts w:hint="eastAsia"/>
                <w:szCs w:val="21"/>
              </w:rPr>
              <w:t>2001.06</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9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201"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50"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763" w:type="dxa"/>
            <w:gridSpan w:val="3"/>
            <w:vMerge w:val="continue"/>
            <w:tcBorders>
              <w:left w:val="single" w:color="auto" w:sz="4" w:space="0"/>
              <w:right w:val="single" w:color="auto" w:sz="4" w:space="0"/>
            </w:tcBorders>
            <w:noWrap w:val="0"/>
            <w:vAlign w:val="center"/>
          </w:tcPr>
          <w:p>
            <w:pPr>
              <w:spacing w:line="280" w:lineRule="exact"/>
              <w:jc w:val="center"/>
              <w:rPr>
                <w:szCs w:val="21"/>
              </w:rPr>
            </w:pPr>
          </w:p>
        </w:tc>
        <w:tc>
          <w:tcPr>
            <w:tcW w:w="7626"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科研工作</w:t>
            </w:r>
          </w:p>
        </w:tc>
        <w:tc>
          <w:tcPr>
            <w:tcW w:w="1195" w:type="dxa"/>
            <w:vMerge w:val="restart"/>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主要论著或论文（标题、刊物名称、发表时间、作者排名、代表作）</w:t>
            </w:r>
          </w:p>
        </w:tc>
        <w:tc>
          <w:tcPr>
            <w:tcW w:w="2051"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szCs w:val="21"/>
              </w:rPr>
              <w:t>论文总数</w:t>
            </w:r>
          </w:p>
        </w:tc>
        <w:tc>
          <w:tcPr>
            <w:tcW w:w="962" w:type="dxa"/>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szCs w:val="21"/>
              </w:rPr>
              <w:t>7</w:t>
            </w:r>
          </w:p>
        </w:tc>
        <w:tc>
          <w:tcPr>
            <w:tcW w:w="7312" w:type="dxa"/>
            <w:gridSpan w:val="9"/>
            <w:vMerge w:val="restart"/>
            <w:tcBorders>
              <w:left w:val="single" w:color="auto" w:sz="4" w:space="0"/>
              <w:right w:val="single" w:color="auto" w:sz="4" w:space="0"/>
            </w:tcBorders>
            <w:noWrap w:val="0"/>
            <w:vAlign w:val="center"/>
          </w:tcPr>
          <w:p>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776" w:type="dxa"/>
            <w:gridSpan w:val="9"/>
            <w:vMerge w:val="restart"/>
            <w:tcBorders>
              <w:left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2051"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96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312" w:type="dxa"/>
            <w:gridSpan w:val="9"/>
            <w:vMerge w:val="continue"/>
            <w:tcBorders>
              <w:left w:val="single" w:color="auto" w:sz="4" w:space="0"/>
              <w:right w:val="single" w:color="auto" w:sz="4" w:space="0"/>
            </w:tcBorders>
            <w:noWrap w:val="0"/>
            <w:vAlign w:val="center"/>
          </w:tcPr>
          <w:p>
            <w:pPr>
              <w:spacing w:line="280" w:lineRule="exact"/>
              <w:jc w:val="center"/>
              <w:rPr>
                <w:szCs w:val="21"/>
              </w:rPr>
            </w:pPr>
          </w:p>
        </w:tc>
        <w:tc>
          <w:tcPr>
            <w:tcW w:w="2084" w:type="dxa"/>
            <w:gridSpan w:val="4"/>
            <w:vMerge w:val="continue"/>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09" w:type="dxa"/>
            <w:gridSpan w:val="16"/>
            <w:vMerge w:val="restart"/>
            <w:tcBorders>
              <w:left w:val="single" w:color="auto" w:sz="4" w:space="0"/>
              <w:right w:val="single" w:color="auto" w:sz="4" w:space="0"/>
            </w:tcBorders>
            <w:noWrap w:val="0"/>
            <w:vAlign w:val="center"/>
          </w:tcPr>
          <w:p>
            <w:pPr>
              <w:spacing w:line="280" w:lineRule="exact"/>
              <w:rPr>
                <w:rFonts w:hint="eastAsia"/>
                <w:szCs w:val="21"/>
              </w:rPr>
            </w:pPr>
            <w:r>
              <w:rPr>
                <w:rFonts w:hint="eastAsia"/>
                <w:szCs w:val="21"/>
              </w:rPr>
              <w:t>1.《关于“思想道德修养与法律基础”课程考核方式改革的思考》 2015年第18期 《文教资料》独著</w:t>
            </w:r>
          </w:p>
          <w:p>
            <w:pPr>
              <w:spacing w:line="280" w:lineRule="exact"/>
              <w:rPr>
                <w:rFonts w:hint="eastAsia"/>
                <w:szCs w:val="21"/>
              </w:rPr>
            </w:pPr>
            <w:r>
              <w:rPr>
                <w:rFonts w:hint="eastAsia"/>
                <w:szCs w:val="21"/>
              </w:rPr>
              <w:t>2.《高职院校生态文明教育的效果评价指标体系研究》 2017年4月第11期 《科教导刊》独著</w:t>
            </w:r>
          </w:p>
          <w:p>
            <w:pPr>
              <w:spacing w:line="280" w:lineRule="exact"/>
              <w:rPr>
                <w:rFonts w:hint="eastAsia"/>
                <w:szCs w:val="21"/>
              </w:rPr>
            </w:pPr>
            <w:r>
              <w:rPr>
                <w:rFonts w:hint="eastAsia"/>
                <w:szCs w:val="21"/>
              </w:rPr>
              <w:t>3.《供销系统高职院校德育实践服务“三农”的评价机制研究》 2017年11月第31期 《教育界》独著</w:t>
            </w:r>
          </w:p>
          <w:p>
            <w:pPr>
              <w:spacing w:line="280" w:lineRule="exact"/>
              <w:rPr>
                <w:rFonts w:hint="eastAsia"/>
                <w:szCs w:val="21"/>
              </w:rPr>
            </w:pPr>
            <w:r>
              <w:rPr>
                <w:rFonts w:hint="eastAsia"/>
                <w:szCs w:val="21"/>
              </w:rPr>
              <w:t>4.《高职院校思想政治教育隐性课程评价体系研究》 2018年8月第24期 《科教导刊》独著</w:t>
            </w:r>
          </w:p>
          <w:p>
            <w:pPr>
              <w:spacing w:line="280" w:lineRule="exact"/>
              <w:rPr>
                <w:rFonts w:hint="eastAsia"/>
                <w:szCs w:val="21"/>
              </w:rPr>
            </w:pPr>
            <w:r>
              <w:rPr>
                <w:rFonts w:hint="eastAsia"/>
                <w:szCs w:val="21"/>
              </w:rPr>
              <w:t>5.《“课程思政”发挥课堂育人主渠道作用的实践路径探索》 2019年11月第31期 《科教导刊》独著</w:t>
            </w:r>
          </w:p>
          <w:p>
            <w:pPr>
              <w:spacing w:line="280" w:lineRule="exact"/>
              <w:rPr>
                <w:rFonts w:hint="eastAsia"/>
                <w:szCs w:val="21"/>
              </w:rPr>
            </w:pPr>
            <w:r>
              <w:rPr>
                <w:rFonts w:hint="eastAsia"/>
                <w:szCs w:val="21"/>
              </w:rPr>
              <w:t>6.《传承红色精神的新时代价值》 2020年5月第15期 《科教导刊》独著</w:t>
            </w:r>
          </w:p>
          <w:p>
            <w:pPr>
              <w:spacing w:line="280" w:lineRule="exact"/>
              <w:rPr>
                <w:szCs w:val="21"/>
              </w:rPr>
            </w:pPr>
            <w:r>
              <w:rPr>
                <w:rFonts w:hint="eastAsia"/>
                <w:szCs w:val="21"/>
              </w:rPr>
              <w:t>7.《红色文化育人新体系研究》 2017年8月《科教文汇》独著</w:t>
            </w: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2015</w:t>
            </w:r>
            <w:r>
              <w:rPr>
                <w:szCs w:val="21"/>
              </w:rPr>
              <w:t>年度</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2016</w:t>
            </w:r>
            <w:r>
              <w:rPr>
                <w:szCs w:val="21"/>
              </w:rPr>
              <w:t>年度</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2017</w:t>
            </w:r>
            <w:r>
              <w:rPr>
                <w:szCs w:val="21"/>
              </w:rPr>
              <w:t>年度</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2018</w:t>
            </w:r>
            <w:r>
              <w:rPr>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rPr>
              <w:t>2019</w:t>
            </w:r>
            <w:r>
              <w:rPr>
                <w:szCs w:val="21"/>
              </w:rPr>
              <w:t>年度</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6"/>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称职</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优秀</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优秀</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合格</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szCs w:val="21"/>
              </w:rPr>
              <w:t>优秀</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6"/>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6776" w:type="dxa"/>
            <w:gridSpan w:val="9"/>
            <w:tcBorders>
              <w:top w:val="single" w:color="auto" w:sz="4" w:space="0"/>
              <w:left w:val="single" w:color="auto" w:sz="4" w:space="0"/>
              <w:right w:val="single" w:color="auto" w:sz="4" w:space="0"/>
            </w:tcBorders>
            <w:noWrap w:val="0"/>
            <w:vAlign w:val="center"/>
          </w:tcPr>
          <w:p>
            <w:pPr>
              <w:widowControl/>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95" w:type="dxa"/>
            <w:vMerge w:val="continue"/>
            <w:tcBorders>
              <w:left w:val="single" w:color="auto" w:sz="4" w:space="0"/>
              <w:right w:val="single" w:color="auto" w:sz="4" w:space="0"/>
            </w:tcBorders>
            <w:noWrap w:val="0"/>
            <w:vAlign w:val="center"/>
          </w:tcPr>
          <w:p>
            <w:pPr>
              <w:spacing w:line="280" w:lineRule="exact"/>
              <w:rPr>
                <w:szCs w:val="21"/>
              </w:rPr>
            </w:pPr>
          </w:p>
        </w:tc>
        <w:tc>
          <w:tcPr>
            <w:tcW w:w="12409" w:type="dxa"/>
            <w:gridSpan w:val="16"/>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6776" w:type="dxa"/>
            <w:gridSpan w:val="9"/>
            <w:vMerge w:val="restart"/>
            <w:tcBorders>
              <w:left w:val="single" w:color="auto" w:sz="4" w:space="0"/>
              <w:bottom w:val="single" w:color="auto" w:sz="4" w:space="0"/>
              <w:right w:val="single" w:color="auto" w:sz="4" w:space="0"/>
            </w:tcBorders>
            <w:noWrap w:val="0"/>
            <w:vAlign w:val="center"/>
          </w:tcPr>
          <w:p>
            <w:pPr>
              <w:spacing w:line="280" w:lineRule="exact"/>
              <w:rPr>
                <w:szCs w:val="21"/>
              </w:rPr>
            </w:pPr>
            <w:r>
              <w:rPr>
                <w:rFonts w:hint="eastAsia"/>
                <w:szCs w:val="21"/>
              </w:rPr>
              <w:t>2002.10至今一直在湖南商务职业技术学院马克思主义学院任思想政治理论课专职教师。</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审核人签名：         人事部门盖章：</w:t>
            </w: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95"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2051" w:type="dxa"/>
            <w:gridSpan w:val="2"/>
            <w:tcBorders>
              <w:left w:val="single" w:color="auto" w:sz="4" w:space="0"/>
              <w:bottom w:val="single" w:color="auto" w:sz="4" w:space="0"/>
              <w:right w:val="single" w:color="auto" w:sz="4" w:space="0"/>
            </w:tcBorders>
            <w:noWrap w:val="0"/>
            <w:vAlign w:val="center"/>
          </w:tcPr>
          <w:p>
            <w:pPr>
              <w:spacing w:line="280" w:lineRule="exact"/>
              <w:ind w:left="-85" w:right="-69" w:rightChars="-33"/>
              <w:jc w:val="center"/>
              <w:rPr>
                <w:szCs w:val="21"/>
              </w:rPr>
            </w:pPr>
            <w:r>
              <w:rPr>
                <w:szCs w:val="21"/>
              </w:rPr>
              <w:t>主持研究项目数</w:t>
            </w:r>
          </w:p>
        </w:tc>
        <w:tc>
          <w:tcPr>
            <w:tcW w:w="968" w:type="dxa"/>
            <w:gridSpan w:val="2"/>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rFonts w:hint="eastAsia"/>
                <w:szCs w:val="21"/>
              </w:rPr>
              <w:t>1</w:t>
            </w:r>
          </w:p>
        </w:tc>
        <w:tc>
          <w:tcPr>
            <w:tcW w:w="1749"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714" w:type="dxa"/>
            <w:gridSpan w:val="2"/>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rFonts w:hint="eastAsia"/>
                <w:szCs w:val="21"/>
              </w:rPr>
              <w:t>12</w:t>
            </w:r>
          </w:p>
        </w:tc>
        <w:tc>
          <w:tcPr>
            <w:tcW w:w="120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658" w:type="dxa"/>
            <w:gridSpan w:val="2"/>
            <w:tcBorders>
              <w:left w:val="single" w:color="auto" w:sz="4" w:space="0"/>
              <w:bottom w:val="single" w:color="auto" w:sz="4" w:space="0"/>
              <w:right w:val="single" w:color="auto" w:sz="4" w:space="0"/>
            </w:tcBorders>
            <w:noWrap w:val="0"/>
            <w:vAlign w:val="center"/>
          </w:tcPr>
          <w:p>
            <w:pPr>
              <w:spacing w:line="280" w:lineRule="exact"/>
              <w:rPr>
                <w:szCs w:val="21"/>
              </w:rPr>
            </w:pPr>
            <w:r>
              <w:rPr>
                <w:szCs w:val="21"/>
              </w:rPr>
              <w:t>技术开发或社会服务项目数</w:t>
            </w:r>
          </w:p>
        </w:tc>
        <w:tc>
          <w:tcPr>
            <w:tcW w:w="1085" w:type="dxa"/>
            <w:gridSpan w:val="2"/>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879" w:type="dxa"/>
            <w:tcBorders>
              <w:left w:val="single" w:color="auto" w:sz="4" w:space="0"/>
              <w:bottom w:val="single" w:color="auto" w:sz="4" w:space="0"/>
              <w:right w:val="single" w:color="auto" w:sz="4" w:space="0"/>
            </w:tcBorders>
            <w:noWrap w:val="0"/>
            <w:vAlign w:val="center"/>
          </w:tcPr>
          <w:p>
            <w:pPr>
              <w:spacing w:line="280" w:lineRule="exact"/>
              <w:ind w:left="-69" w:leftChars="-33" w:right="-82" w:rightChars="-39"/>
              <w:rPr>
                <w:szCs w:val="21"/>
              </w:rPr>
            </w:pPr>
            <w:r>
              <w:rPr>
                <w:szCs w:val="21"/>
              </w:rPr>
              <w:t>专利数</w:t>
            </w:r>
          </w:p>
        </w:tc>
        <w:tc>
          <w:tcPr>
            <w:tcW w:w="757" w:type="dxa"/>
            <w:gridSpan w:val="2"/>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8"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19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09" w:type="dxa"/>
            <w:gridSpan w:val="16"/>
            <w:tcBorders>
              <w:left w:val="single" w:color="auto" w:sz="4" w:space="0"/>
              <w:bottom w:val="single" w:color="auto" w:sz="4" w:space="0"/>
              <w:right w:val="single" w:color="auto" w:sz="4" w:space="0"/>
            </w:tcBorders>
            <w:noWrap w:val="0"/>
            <w:vAlign w:val="center"/>
          </w:tcPr>
          <w:p>
            <w:pPr>
              <w:spacing w:line="280" w:lineRule="exact"/>
              <w:rPr>
                <w:rFonts w:hint="eastAsia"/>
                <w:szCs w:val="21"/>
              </w:rPr>
            </w:pPr>
            <w:r>
              <w:rPr>
                <w:rFonts w:hint="eastAsia"/>
                <w:szCs w:val="21"/>
              </w:rPr>
              <w:t>1.</w:t>
            </w:r>
            <w:r>
              <w:rPr>
                <w:rFonts w:hint="eastAsia"/>
                <w:szCs w:val="21"/>
              </w:rPr>
              <w:tab/>
            </w:r>
            <w:r>
              <w:rPr>
                <w:rFonts w:hint="eastAsia"/>
                <w:szCs w:val="21"/>
              </w:rPr>
              <w:t>主持课题《思想道德修养与法律基础课程评价体系研究》项目编号：湘商职院【2011】9号文件SZ1101。</w:t>
            </w:r>
          </w:p>
          <w:p>
            <w:pPr>
              <w:spacing w:line="280" w:lineRule="exact"/>
              <w:rPr>
                <w:rFonts w:hint="eastAsia"/>
                <w:szCs w:val="21"/>
              </w:rPr>
            </w:pPr>
            <w:r>
              <w:rPr>
                <w:rFonts w:hint="eastAsia"/>
                <w:szCs w:val="21"/>
              </w:rPr>
              <w:t>2.</w:t>
            </w:r>
            <w:r>
              <w:rPr>
                <w:rFonts w:hint="eastAsia"/>
                <w:szCs w:val="21"/>
              </w:rPr>
              <w:tab/>
            </w:r>
            <w:r>
              <w:rPr>
                <w:rFonts w:hint="eastAsia"/>
                <w:szCs w:val="21"/>
              </w:rPr>
              <w:t>参与湖南省教育科学“十二五”规划一般课题 “中国梦”视野下的高职学生理想信念教育体系构建研究，课题编号XJK014CDY007，排名第二。已结项。</w:t>
            </w:r>
          </w:p>
          <w:p>
            <w:pPr>
              <w:spacing w:line="280" w:lineRule="exact"/>
              <w:rPr>
                <w:rFonts w:hint="eastAsia"/>
                <w:szCs w:val="21"/>
              </w:rPr>
            </w:pPr>
            <w:r>
              <w:rPr>
                <w:rFonts w:hint="eastAsia"/>
                <w:szCs w:val="21"/>
              </w:rPr>
              <w:t>3.  参与“十三五”省级一般资助课题《立德树人视角下高校“课程思政”改革研究》课题编号：XLK18BDY009，排名第三。已结项。</w:t>
            </w:r>
          </w:p>
          <w:p>
            <w:pPr>
              <w:spacing w:line="280" w:lineRule="exact"/>
              <w:rPr>
                <w:rFonts w:hint="eastAsia"/>
                <w:szCs w:val="21"/>
              </w:rPr>
            </w:pPr>
            <w:r>
              <w:rPr>
                <w:rFonts w:hint="eastAsia"/>
                <w:szCs w:val="21"/>
              </w:rPr>
              <w:t>4.  参与湖南省社科基金教育学专项课题（项目编号：XSJ17B320）高职思政教育滋养“工匠精神”的研究与实践，排名第四。已结项。</w:t>
            </w:r>
          </w:p>
          <w:p>
            <w:pPr>
              <w:spacing w:line="280" w:lineRule="exact"/>
              <w:rPr>
                <w:szCs w:val="21"/>
              </w:rPr>
            </w:pPr>
            <w:r>
              <w:rPr>
                <w:rFonts w:hint="eastAsia"/>
                <w:szCs w:val="21"/>
              </w:rPr>
              <w:t>等等</w:t>
            </w:r>
          </w:p>
        </w:tc>
        <w:tc>
          <w:tcPr>
            <w:tcW w:w="1234" w:type="dxa"/>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8" w:hRule="atLeast"/>
          <w:jc w:val="center"/>
        </w:trPr>
        <w:tc>
          <w:tcPr>
            <w:tcW w:w="6776" w:type="dxa"/>
            <w:gridSpan w:val="9"/>
            <w:vMerge w:val="continue"/>
            <w:tcBorders>
              <w:left w:val="single" w:color="auto" w:sz="4" w:space="0"/>
              <w:right w:val="single" w:color="auto" w:sz="4" w:space="0"/>
            </w:tcBorders>
            <w:noWrap w:val="0"/>
            <w:vAlign w:val="center"/>
          </w:tcPr>
          <w:p>
            <w:pPr>
              <w:spacing w:line="280" w:lineRule="exact"/>
              <w:rPr>
                <w:szCs w:val="21"/>
              </w:rPr>
            </w:pPr>
          </w:p>
        </w:tc>
        <w:tc>
          <w:tcPr>
            <w:tcW w:w="1917" w:type="dxa"/>
            <w:gridSpan w:val="2"/>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09" w:type="dxa"/>
            <w:gridSpan w:val="16"/>
            <w:tcBorders>
              <w:left w:val="single" w:color="auto" w:sz="4" w:space="0"/>
              <w:right w:val="single" w:color="auto" w:sz="4" w:space="0"/>
            </w:tcBorders>
            <w:noWrap w:val="0"/>
            <w:vAlign w:val="top"/>
          </w:tcPr>
          <w:p>
            <w:pPr>
              <w:spacing w:line="280" w:lineRule="exact"/>
              <w:rPr>
                <w:szCs w:val="21"/>
              </w:rPr>
            </w:pPr>
            <w:r>
              <w:rPr>
                <w:szCs w:val="21"/>
              </w:rPr>
              <w:t>指导学生</w:t>
            </w:r>
            <w:r>
              <w:rPr>
                <w:rFonts w:hint="eastAsia"/>
                <w:szCs w:val="21"/>
              </w:rPr>
              <w:t>2019年、2020年参加第五届、第六届湖南省大学生思想政治理论课研究性学习竞赛均获得一等奖。</w:t>
            </w:r>
          </w:p>
        </w:tc>
        <w:tc>
          <w:tcPr>
            <w:tcW w:w="1234" w:type="dxa"/>
            <w:tcBorders>
              <w:left w:val="single" w:color="auto" w:sz="4" w:space="0"/>
              <w:right w:val="single" w:color="auto" w:sz="4" w:space="0"/>
            </w:tcBorders>
            <w:noWrap w:val="0"/>
            <w:vAlign w:val="center"/>
          </w:tcPr>
          <w:p>
            <w:pPr>
              <w:spacing w:line="280" w:lineRule="exact"/>
              <w:rPr>
                <w:szCs w:val="21"/>
              </w:rPr>
            </w:pPr>
            <w:r>
              <w:rPr>
                <w:szCs w:val="21"/>
              </w:rPr>
              <w:t>学校主管部门（盖章）审核人签名：</w:t>
            </w:r>
          </w:p>
          <w:p>
            <w:pPr>
              <w:spacing w:line="280" w:lineRule="exact"/>
              <w:rPr>
                <w:szCs w:val="21"/>
              </w:rPr>
            </w:pPr>
          </w:p>
        </w:tc>
      </w:tr>
    </w:tbl>
    <w:p>
      <w:r>
        <w:rPr>
          <w:sz w:val="24"/>
          <w:szCs w:val="32"/>
        </w:rPr>
        <w:t xml:space="preserve">公示结果（有异议/无异议）：  </w:t>
      </w:r>
      <w:r>
        <w:rPr>
          <w:sz w:val="18"/>
          <w:szCs w:val="18"/>
        </w:rPr>
        <w:t xml:space="preserve">                    </w:t>
      </w:r>
      <w:r>
        <w:rPr>
          <w:sz w:val="24"/>
          <w:szCs w:val="32"/>
        </w:rPr>
        <w:t xml:space="preserve">    单位（公章）：                           单位审核责任人签名：                                        填表日期：        年    月    日注：1、表中“其它教学工作量”是指出卷、监考、指导毕业生论文等。2、增刊、论文集、用稿通知、清样、习题集（库）等均不作为申报高级专业技术职称的参评材料。 </w:t>
      </w:r>
    </w:p>
    <w:sectPr>
      <w:pgSz w:w="23757" w:h="16783" w:orient="landscape"/>
      <w:pgMar w:top="1157" w:right="1440" w:bottom="115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40757"/>
    <w:rsid w:val="3A24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2020-12-17T06:41:00Z</dcterms:created>
  <dc:creator>自由自在如风</dc:creator>
  <cp:lastModifiedBy>自由自在如风</cp:lastModifiedBy>
  <dcterms:modified xsi:type="dcterms:W3CDTF">2020-12-17T06:44:32Z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